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DABF0" w14:textId="150434DB" w:rsidR="00D424A6" w:rsidRDefault="00D424A6" w:rsidP="00B149D2">
      <w:pPr>
        <w:jc w:val="center"/>
        <w:rPr>
          <w:rFonts w:asciiTheme="minorHAnsi" w:hAnsiTheme="minorHAnsi"/>
          <w:b/>
          <w:color w:val="0D3F5E"/>
          <w:sz w:val="44"/>
          <w:szCs w:val="44"/>
        </w:rPr>
      </w:pPr>
      <w:r w:rsidRPr="0095776B">
        <w:rPr>
          <w:noProof/>
          <w:sz w:val="44"/>
          <w:szCs w:val="44"/>
        </w:rPr>
        <w:drawing>
          <wp:anchor distT="0" distB="0" distL="114300" distR="114300" simplePos="0" relativeHeight="251659264" behindDoc="0" locked="0" layoutInCell="1" allowOverlap="1" wp14:anchorId="68B2DDF9" wp14:editId="08C229AF">
            <wp:simplePos x="0" y="0"/>
            <wp:positionH relativeFrom="margin">
              <wp:posOffset>-283035</wp:posOffset>
            </wp:positionH>
            <wp:positionV relativeFrom="paragraph">
              <wp:posOffset>-320872</wp:posOffset>
            </wp:positionV>
            <wp:extent cx="2238034" cy="409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8034"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7B3279" w14:textId="4DA383CD" w:rsidR="00B149D2" w:rsidRPr="00D424A6" w:rsidRDefault="00B149D2" w:rsidP="002E2B2C">
      <w:pPr>
        <w:ind w:left="-360"/>
        <w:rPr>
          <w:rFonts w:ascii="Effra" w:hAnsi="Effra" w:cs="Effra"/>
          <w:b/>
          <w:color w:val="0D3F5E"/>
          <w:sz w:val="44"/>
          <w:szCs w:val="44"/>
        </w:rPr>
      </w:pPr>
      <w:r w:rsidRPr="00D424A6">
        <w:rPr>
          <w:rFonts w:ascii="Effra" w:hAnsi="Effra" w:cs="Effra"/>
          <w:b/>
          <w:color w:val="0D3F5E"/>
          <w:sz w:val="44"/>
          <w:szCs w:val="44"/>
        </w:rPr>
        <w:t>Why Guardian for Technology?</w:t>
      </w:r>
    </w:p>
    <w:p w14:paraId="0396DB47" w14:textId="77777777" w:rsidR="00B149D2" w:rsidRPr="00D424A6" w:rsidRDefault="00B149D2" w:rsidP="00B149D2">
      <w:pPr>
        <w:rPr>
          <w:rFonts w:ascii="Effra" w:hAnsi="Effra" w:cs="Effra"/>
          <w:b/>
          <w:color w:val="404040" w:themeColor="text1" w:themeTint="BF"/>
          <w:sz w:val="2"/>
          <w:szCs w:val="2"/>
        </w:rPr>
      </w:pPr>
    </w:p>
    <w:p w14:paraId="4D66F52E" w14:textId="77777777" w:rsidR="00B149D2" w:rsidRPr="00D424A6" w:rsidRDefault="00B149D2" w:rsidP="00B149D2">
      <w:pPr>
        <w:rPr>
          <w:rFonts w:ascii="Effra" w:hAnsi="Effra" w:cs="Effra"/>
          <w:b/>
          <w:color w:val="404040" w:themeColor="text1" w:themeTint="BF"/>
          <w:sz w:val="12"/>
          <w:szCs w:val="8"/>
        </w:rPr>
      </w:pPr>
    </w:p>
    <w:tbl>
      <w:tblPr>
        <w:tblStyle w:val="TableGrid"/>
        <w:tblW w:w="10350" w:type="dxa"/>
        <w:tblInd w:w="-365" w:type="dxa"/>
        <w:tblLook w:val="04A0" w:firstRow="1" w:lastRow="0" w:firstColumn="1" w:lastColumn="0" w:noHBand="0" w:noVBand="1"/>
      </w:tblPr>
      <w:tblGrid>
        <w:gridCol w:w="10350"/>
      </w:tblGrid>
      <w:tr w:rsidR="00B149D2" w:rsidRPr="00D424A6" w14:paraId="72D79A4A" w14:textId="77777777" w:rsidTr="005C6294">
        <w:trPr>
          <w:trHeight w:val="1340"/>
        </w:trPr>
        <w:tc>
          <w:tcPr>
            <w:tcW w:w="10350" w:type="dxa"/>
            <w:shd w:val="clear" w:color="auto" w:fill="0D3F5E"/>
            <w:vAlign w:val="center"/>
          </w:tcPr>
          <w:p w14:paraId="01D8BD02" w14:textId="77777777" w:rsidR="00B149D2" w:rsidRPr="00D424A6" w:rsidRDefault="007364C9" w:rsidP="00A51754">
            <w:pPr>
              <w:rPr>
                <w:rFonts w:ascii="Effra" w:hAnsi="Effra" w:cs="Effra"/>
                <w:b/>
                <w:color w:val="00B050"/>
                <w:sz w:val="28"/>
                <w:szCs w:val="28"/>
              </w:rPr>
            </w:pPr>
            <w:r w:rsidRPr="00D424A6">
              <w:rPr>
                <w:rFonts w:ascii="Effra" w:hAnsi="Effra" w:cs="Effra"/>
                <w:b/>
                <w:color w:val="00B050"/>
                <w:sz w:val="28"/>
                <w:szCs w:val="28"/>
              </w:rPr>
              <w:t>Guardian has regional Technology Practice Leaders</w:t>
            </w:r>
            <w:r w:rsidR="00221582" w:rsidRPr="00D424A6">
              <w:rPr>
                <w:rFonts w:ascii="Effra" w:hAnsi="Effra" w:cs="Effra"/>
                <w:b/>
                <w:color w:val="00B050"/>
                <w:sz w:val="28"/>
                <w:szCs w:val="28"/>
              </w:rPr>
              <w:t>:</w:t>
            </w:r>
            <w:r w:rsidRPr="00D424A6">
              <w:rPr>
                <w:rFonts w:ascii="Effra" w:hAnsi="Effra" w:cs="Effra"/>
                <w:b/>
                <w:color w:val="00B050"/>
                <w:sz w:val="28"/>
                <w:szCs w:val="28"/>
              </w:rPr>
              <w:t xml:space="preserve"> </w:t>
            </w:r>
            <w:r w:rsidR="00221582" w:rsidRPr="00D424A6">
              <w:rPr>
                <w:rFonts w:ascii="Effra" w:hAnsi="Effra" w:cs="Effra"/>
                <w:b/>
                <w:color w:val="00B050"/>
                <w:sz w:val="28"/>
                <w:szCs w:val="28"/>
              </w:rPr>
              <w:t xml:space="preserve"> </w:t>
            </w:r>
          </w:p>
        </w:tc>
      </w:tr>
      <w:tr w:rsidR="00B149D2" w:rsidRPr="00D424A6" w14:paraId="43CC7AF9" w14:textId="77777777" w:rsidTr="00B149D2">
        <w:trPr>
          <w:trHeight w:val="260"/>
        </w:trPr>
        <w:tc>
          <w:tcPr>
            <w:tcW w:w="10350" w:type="dxa"/>
            <w:shd w:val="clear" w:color="auto" w:fill="FFFFFF" w:themeFill="background1"/>
            <w:vAlign w:val="center"/>
          </w:tcPr>
          <w:p w14:paraId="201A4DAB" w14:textId="77777777" w:rsidR="00D424A6" w:rsidRPr="00D424A6" w:rsidRDefault="00D424A6" w:rsidP="00D424A6">
            <w:pPr>
              <w:pStyle w:val="ListParagraph"/>
              <w:spacing w:before="120" w:after="120" w:line="264" w:lineRule="auto"/>
              <w:ind w:left="360"/>
              <w:rPr>
                <w:rFonts w:ascii="Effra" w:hAnsi="Effra" w:cs="Effra"/>
                <w:bCs/>
                <w:color w:val="000000" w:themeColor="text1"/>
                <w:sz w:val="25"/>
                <w:szCs w:val="25"/>
              </w:rPr>
            </w:pPr>
          </w:p>
          <w:p w14:paraId="286DFA0B" w14:textId="7F5CA45C" w:rsidR="00B149D2" w:rsidRPr="00D424A6" w:rsidRDefault="00C447C9" w:rsidP="00C447C9">
            <w:pPr>
              <w:pStyle w:val="ListParagraph"/>
              <w:numPr>
                <w:ilvl w:val="0"/>
                <w:numId w:val="1"/>
              </w:numPr>
              <w:spacing w:before="120" w:after="120" w:line="264" w:lineRule="auto"/>
              <w:rPr>
                <w:rFonts w:ascii="Effra" w:hAnsi="Effra" w:cs="Effra"/>
                <w:bCs/>
                <w:color w:val="000000" w:themeColor="text1"/>
                <w:sz w:val="25"/>
                <w:szCs w:val="25"/>
              </w:rPr>
            </w:pPr>
            <w:bookmarkStart w:id="0" w:name="_GoBack"/>
            <w:r w:rsidRPr="00D424A6">
              <w:rPr>
                <w:rFonts w:ascii="Effra" w:hAnsi="Effra" w:cs="Effra"/>
                <w:sz w:val="25"/>
                <w:szCs w:val="25"/>
              </w:rPr>
              <w:t xml:space="preserve">Guardian’s Technology Practice Leaders </w:t>
            </w:r>
            <w:bookmarkEnd w:id="0"/>
            <w:r w:rsidRPr="00D424A6">
              <w:rPr>
                <w:rFonts w:ascii="Effra" w:hAnsi="Effra" w:cs="Effra"/>
                <w:sz w:val="25"/>
                <w:szCs w:val="25"/>
              </w:rPr>
              <w:t>(TPLs) are a unique position to Guardian. They are responsible for partnering with our broker, technology partners and internal sales teams to help support them with their benefit technology needs. TPLs are regionalized and aligned with Guardian’s sales divisions to provide consultation on all thing’s benefits technology.</w:t>
            </w:r>
          </w:p>
          <w:p w14:paraId="4BF6529F" w14:textId="7D791029" w:rsidR="00D424A6" w:rsidRPr="00D424A6" w:rsidRDefault="00D424A6" w:rsidP="00D424A6">
            <w:pPr>
              <w:pStyle w:val="ListParagraph"/>
              <w:spacing w:before="120" w:after="120" w:line="264" w:lineRule="auto"/>
              <w:ind w:left="360"/>
              <w:rPr>
                <w:rFonts w:ascii="Effra" w:hAnsi="Effra" w:cs="Effra"/>
                <w:bCs/>
                <w:color w:val="000000" w:themeColor="text1"/>
                <w:sz w:val="25"/>
                <w:szCs w:val="25"/>
              </w:rPr>
            </w:pPr>
          </w:p>
        </w:tc>
      </w:tr>
      <w:tr w:rsidR="00C3222E" w:rsidRPr="00D424A6" w14:paraId="30BDD221" w14:textId="77777777" w:rsidTr="005C6294">
        <w:trPr>
          <w:trHeight w:val="1268"/>
        </w:trPr>
        <w:tc>
          <w:tcPr>
            <w:tcW w:w="10350" w:type="dxa"/>
            <w:shd w:val="clear" w:color="auto" w:fill="0D3F5E"/>
            <w:vAlign w:val="center"/>
          </w:tcPr>
          <w:p w14:paraId="5BDC628E" w14:textId="72E0B509" w:rsidR="00C3222E" w:rsidRPr="00D424A6" w:rsidRDefault="00C447C9" w:rsidP="00A51754">
            <w:pPr>
              <w:rPr>
                <w:rFonts w:ascii="Effra" w:hAnsi="Effra" w:cs="Effra"/>
                <w:b/>
                <w:color w:val="00B050"/>
                <w:sz w:val="28"/>
                <w:szCs w:val="28"/>
              </w:rPr>
            </w:pPr>
            <w:r w:rsidRPr="00D424A6">
              <w:rPr>
                <w:rFonts w:ascii="Effra" w:hAnsi="Effra" w:cs="Effra"/>
                <w:b/>
                <w:color w:val="00B050"/>
                <w:sz w:val="28"/>
                <w:szCs w:val="28"/>
              </w:rPr>
              <w:t xml:space="preserve"> What guidance does the Technology Practice Leader </w:t>
            </w:r>
            <w:r w:rsidR="005B0CF2" w:rsidRPr="00D424A6">
              <w:rPr>
                <w:rFonts w:ascii="Effra" w:hAnsi="Effra" w:cs="Effra"/>
                <w:b/>
                <w:color w:val="00B050"/>
                <w:sz w:val="28"/>
                <w:szCs w:val="28"/>
              </w:rPr>
              <w:t>p</w:t>
            </w:r>
            <w:r w:rsidRPr="00D424A6">
              <w:rPr>
                <w:rFonts w:ascii="Effra" w:hAnsi="Effra" w:cs="Effra"/>
                <w:b/>
                <w:color w:val="00B050"/>
                <w:sz w:val="28"/>
                <w:szCs w:val="28"/>
              </w:rPr>
              <w:t>rovide?</w:t>
            </w:r>
          </w:p>
        </w:tc>
      </w:tr>
      <w:tr w:rsidR="00AA433F" w:rsidRPr="00D424A6" w14:paraId="6CD75458" w14:textId="77777777" w:rsidTr="00A51754">
        <w:trPr>
          <w:trHeight w:val="260"/>
        </w:trPr>
        <w:tc>
          <w:tcPr>
            <w:tcW w:w="10350" w:type="dxa"/>
            <w:shd w:val="clear" w:color="auto" w:fill="FFFFFF" w:themeFill="background1"/>
            <w:vAlign w:val="center"/>
          </w:tcPr>
          <w:p w14:paraId="3B76D488" w14:textId="77777777" w:rsidR="00D424A6" w:rsidRDefault="00D424A6" w:rsidP="00D424A6">
            <w:pPr>
              <w:pStyle w:val="ListParagraph"/>
              <w:autoSpaceDE w:val="0"/>
              <w:autoSpaceDN w:val="0"/>
              <w:adjustRightInd w:val="0"/>
              <w:ind w:left="360"/>
              <w:rPr>
                <w:rFonts w:ascii="Effra" w:hAnsi="Effra" w:cs="Effra"/>
                <w:bCs/>
                <w:color w:val="000000" w:themeColor="text1"/>
              </w:rPr>
            </w:pPr>
          </w:p>
          <w:p w14:paraId="4833DDD4" w14:textId="2C22507F" w:rsidR="00AA433F" w:rsidRPr="00D424A6" w:rsidRDefault="00AA433F" w:rsidP="00AA433F">
            <w:pPr>
              <w:pStyle w:val="ListParagraph"/>
              <w:numPr>
                <w:ilvl w:val="0"/>
                <w:numId w:val="1"/>
              </w:numPr>
              <w:autoSpaceDE w:val="0"/>
              <w:autoSpaceDN w:val="0"/>
              <w:adjustRightInd w:val="0"/>
              <w:rPr>
                <w:rFonts w:ascii="Effra" w:hAnsi="Effra" w:cs="Effra"/>
                <w:bCs/>
                <w:color w:val="000000" w:themeColor="text1"/>
              </w:rPr>
            </w:pPr>
            <w:r w:rsidRPr="00D424A6">
              <w:rPr>
                <w:rFonts w:ascii="Effra" w:hAnsi="Effra" w:cs="Effra"/>
                <w:bCs/>
                <w:color w:val="000000" w:themeColor="text1"/>
              </w:rPr>
              <w:t>Provide consultation as to how Guardian products and features fit and should be configured on leading technology platforms</w:t>
            </w:r>
          </w:p>
          <w:p w14:paraId="08D1E649" w14:textId="77777777" w:rsidR="00AA433F" w:rsidRPr="00D424A6" w:rsidRDefault="00AA433F" w:rsidP="00AA433F">
            <w:pPr>
              <w:pStyle w:val="ListParagraph"/>
              <w:numPr>
                <w:ilvl w:val="0"/>
                <w:numId w:val="1"/>
              </w:numPr>
              <w:autoSpaceDE w:val="0"/>
              <w:autoSpaceDN w:val="0"/>
              <w:adjustRightInd w:val="0"/>
              <w:rPr>
                <w:rFonts w:ascii="Effra" w:hAnsi="Effra" w:cs="Effra"/>
                <w:bCs/>
                <w:color w:val="000000" w:themeColor="text1"/>
              </w:rPr>
            </w:pPr>
            <w:r w:rsidRPr="00D424A6">
              <w:rPr>
                <w:rFonts w:ascii="Effra" w:hAnsi="Effra" w:cs="Effra"/>
                <w:bCs/>
                <w:color w:val="000000" w:themeColor="text1"/>
              </w:rPr>
              <w:t xml:space="preserve">Develop Guardrail documents that document how various platforms can and can’t configure the Guardian products and features </w:t>
            </w:r>
          </w:p>
          <w:p w14:paraId="777C30F1" w14:textId="77777777" w:rsidR="00AA433F" w:rsidRPr="00D424A6" w:rsidRDefault="00AA433F" w:rsidP="00AA433F">
            <w:pPr>
              <w:pStyle w:val="ListParagraph"/>
              <w:numPr>
                <w:ilvl w:val="0"/>
                <w:numId w:val="1"/>
              </w:numPr>
              <w:autoSpaceDE w:val="0"/>
              <w:autoSpaceDN w:val="0"/>
              <w:adjustRightInd w:val="0"/>
              <w:rPr>
                <w:rFonts w:ascii="Effra" w:hAnsi="Effra" w:cs="Effra"/>
                <w:bCs/>
                <w:color w:val="000000" w:themeColor="text1"/>
              </w:rPr>
            </w:pPr>
            <w:r w:rsidRPr="00D424A6">
              <w:rPr>
                <w:rFonts w:ascii="Effra" w:hAnsi="Effra" w:cs="Effra"/>
                <w:bCs/>
                <w:color w:val="000000" w:themeColor="text1"/>
              </w:rPr>
              <w:t>Explain the existing and emerging technology tools that Guardian is developing to help streamline and simplify benefit administration (e.g. Lunch and Learns on APIs, integrated EOI, etc.)</w:t>
            </w:r>
          </w:p>
          <w:p w14:paraId="0AEE9F29" w14:textId="77777777" w:rsidR="00AA433F" w:rsidRDefault="00AA433F" w:rsidP="00AA433F">
            <w:pPr>
              <w:pStyle w:val="ListParagraph"/>
              <w:numPr>
                <w:ilvl w:val="0"/>
                <w:numId w:val="1"/>
              </w:numPr>
              <w:autoSpaceDE w:val="0"/>
              <w:autoSpaceDN w:val="0"/>
              <w:adjustRightInd w:val="0"/>
              <w:rPr>
                <w:rFonts w:ascii="Effra" w:hAnsi="Effra" w:cs="Effra"/>
                <w:bCs/>
                <w:color w:val="000000" w:themeColor="text1"/>
              </w:rPr>
            </w:pPr>
            <w:r w:rsidRPr="00D424A6">
              <w:rPr>
                <w:rFonts w:ascii="Effra" w:hAnsi="Effra" w:cs="Effra"/>
                <w:bCs/>
                <w:color w:val="000000" w:themeColor="text1"/>
              </w:rPr>
              <w:t>Engage with clients who have questions about HR technology and how Guardian’s tools can support their needs</w:t>
            </w:r>
          </w:p>
          <w:p w14:paraId="7FD36BB1" w14:textId="1E1E494C" w:rsidR="00D424A6" w:rsidRPr="00D424A6" w:rsidRDefault="00D424A6" w:rsidP="00D424A6">
            <w:pPr>
              <w:pStyle w:val="ListParagraph"/>
              <w:autoSpaceDE w:val="0"/>
              <w:autoSpaceDN w:val="0"/>
              <w:adjustRightInd w:val="0"/>
              <w:ind w:left="360"/>
              <w:rPr>
                <w:rFonts w:ascii="Effra" w:hAnsi="Effra" w:cs="Effra"/>
                <w:bCs/>
                <w:color w:val="000000" w:themeColor="text1"/>
              </w:rPr>
            </w:pPr>
          </w:p>
        </w:tc>
      </w:tr>
      <w:tr w:rsidR="00AA433F" w:rsidRPr="00D424A6" w14:paraId="6C2B8303" w14:textId="77777777" w:rsidTr="005C6294">
        <w:trPr>
          <w:trHeight w:val="980"/>
        </w:trPr>
        <w:tc>
          <w:tcPr>
            <w:tcW w:w="10350" w:type="dxa"/>
            <w:shd w:val="clear" w:color="auto" w:fill="0D3F5E"/>
            <w:vAlign w:val="center"/>
          </w:tcPr>
          <w:p w14:paraId="1BCB954E" w14:textId="0A3531BD" w:rsidR="00AA433F" w:rsidRPr="00D424A6" w:rsidRDefault="00AA433F" w:rsidP="00AA433F">
            <w:pPr>
              <w:rPr>
                <w:rFonts w:ascii="Effra" w:hAnsi="Effra" w:cs="Effra"/>
                <w:b/>
                <w:color w:val="00B050"/>
                <w:sz w:val="28"/>
                <w:szCs w:val="28"/>
              </w:rPr>
            </w:pPr>
            <w:r w:rsidRPr="00D424A6">
              <w:rPr>
                <w:rFonts w:ascii="Effra" w:hAnsi="Effra" w:cs="Effra"/>
                <w:b/>
                <w:color w:val="00B050"/>
                <w:sz w:val="28"/>
                <w:szCs w:val="28"/>
              </w:rPr>
              <w:t>Who is UBA’s National Technology Practice Leader?</w:t>
            </w:r>
          </w:p>
        </w:tc>
      </w:tr>
      <w:tr w:rsidR="00AA433F" w:rsidRPr="00D424A6" w14:paraId="66D29220" w14:textId="77777777" w:rsidTr="00A51754">
        <w:trPr>
          <w:trHeight w:val="260"/>
        </w:trPr>
        <w:tc>
          <w:tcPr>
            <w:tcW w:w="10350" w:type="dxa"/>
            <w:shd w:val="clear" w:color="auto" w:fill="FFFFFF" w:themeFill="background1"/>
            <w:vAlign w:val="center"/>
          </w:tcPr>
          <w:p w14:paraId="784B8D21" w14:textId="77777777" w:rsidR="00D424A6" w:rsidRPr="00D424A6" w:rsidRDefault="00D424A6" w:rsidP="00D424A6">
            <w:pPr>
              <w:pStyle w:val="ListParagraph"/>
              <w:autoSpaceDE w:val="0"/>
              <w:autoSpaceDN w:val="0"/>
              <w:adjustRightInd w:val="0"/>
              <w:ind w:left="360"/>
              <w:rPr>
                <w:rFonts w:ascii="Effra" w:hAnsi="Effra" w:cs="Effra"/>
                <w:bCs/>
                <w:color w:val="000000" w:themeColor="text1"/>
                <w:sz w:val="25"/>
                <w:szCs w:val="25"/>
              </w:rPr>
            </w:pPr>
          </w:p>
          <w:p w14:paraId="30C2268A" w14:textId="77777777" w:rsidR="002E2B2C" w:rsidRPr="002E2B2C" w:rsidRDefault="002E2B2C" w:rsidP="00AA433F">
            <w:pPr>
              <w:pStyle w:val="ListParagraph"/>
              <w:numPr>
                <w:ilvl w:val="0"/>
                <w:numId w:val="1"/>
              </w:numPr>
              <w:autoSpaceDE w:val="0"/>
              <w:autoSpaceDN w:val="0"/>
              <w:adjustRightInd w:val="0"/>
              <w:rPr>
                <w:rFonts w:ascii="Effra" w:hAnsi="Effra" w:cs="Effra"/>
                <w:bCs/>
                <w:color w:val="000000" w:themeColor="text1"/>
                <w:sz w:val="25"/>
                <w:szCs w:val="25"/>
              </w:rPr>
            </w:pPr>
            <w:r>
              <w:rPr>
                <w:noProof/>
              </w:rPr>
              <w:drawing>
                <wp:inline distT="0" distB="0" distL="0" distR="0" wp14:anchorId="152DD40A" wp14:editId="1A2C45B9">
                  <wp:extent cx="1027043" cy="969107"/>
                  <wp:effectExtent l="0" t="0" r="190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45316" cy="986350"/>
                          </a:xfrm>
                          <a:prstGeom prst="rect">
                            <a:avLst/>
                          </a:prstGeom>
                        </pic:spPr>
                      </pic:pic>
                    </a:graphicData>
                  </a:graphic>
                </wp:inline>
              </w:drawing>
            </w:r>
          </w:p>
          <w:p w14:paraId="2D49CB47" w14:textId="2F7B85A0" w:rsidR="00AA433F" w:rsidRPr="00D424A6" w:rsidRDefault="00AA433F" w:rsidP="00AA433F">
            <w:pPr>
              <w:pStyle w:val="ListParagraph"/>
              <w:numPr>
                <w:ilvl w:val="0"/>
                <w:numId w:val="1"/>
              </w:numPr>
              <w:autoSpaceDE w:val="0"/>
              <w:autoSpaceDN w:val="0"/>
              <w:adjustRightInd w:val="0"/>
              <w:rPr>
                <w:rFonts w:ascii="Effra" w:hAnsi="Effra" w:cs="Effra"/>
                <w:bCs/>
                <w:color w:val="000000" w:themeColor="text1"/>
                <w:sz w:val="25"/>
                <w:szCs w:val="25"/>
              </w:rPr>
            </w:pPr>
            <w:r w:rsidRPr="00D424A6">
              <w:rPr>
                <w:rFonts w:ascii="Effra" w:hAnsi="Effra" w:cs="Effra"/>
                <w:b/>
                <w:color w:val="000000" w:themeColor="text1"/>
                <w:sz w:val="25"/>
                <w:szCs w:val="25"/>
              </w:rPr>
              <w:t>Sherri Meitzler</w:t>
            </w:r>
            <w:r w:rsidR="002E2B2C">
              <w:rPr>
                <w:noProof/>
              </w:rPr>
              <w:drawing>
                <wp:inline distT="0" distB="0" distL="0" distR="0" wp14:anchorId="25EBD2B7" wp14:editId="62FF744B">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525" cy="9525"/>
                          </a:xfrm>
                          <a:prstGeom prst="rect">
                            <a:avLst/>
                          </a:prstGeom>
                        </pic:spPr>
                      </pic:pic>
                    </a:graphicData>
                  </a:graphic>
                </wp:inline>
              </w:drawing>
            </w:r>
            <w:r w:rsidR="002E2B2C">
              <w:rPr>
                <w:noProof/>
              </w:rPr>
              <w:drawing>
                <wp:inline distT="0" distB="0" distL="0" distR="0" wp14:anchorId="4EBCF099" wp14:editId="4166F7DF">
                  <wp:extent cx="95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525" cy="9525"/>
                          </a:xfrm>
                          <a:prstGeom prst="rect">
                            <a:avLst/>
                          </a:prstGeom>
                        </pic:spPr>
                      </pic:pic>
                    </a:graphicData>
                  </a:graphic>
                </wp:inline>
              </w:drawing>
            </w:r>
          </w:p>
          <w:p w14:paraId="29C0BE66" w14:textId="7B2944D5" w:rsidR="00AA433F" w:rsidRPr="00D424A6" w:rsidRDefault="00AA433F" w:rsidP="00AA433F">
            <w:pPr>
              <w:pStyle w:val="ListParagraph"/>
              <w:numPr>
                <w:ilvl w:val="0"/>
                <w:numId w:val="1"/>
              </w:numPr>
              <w:autoSpaceDE w:val="0"/>
              <w:autoSpaceDN w:val="0"/>
              <w:adjustRightInd w:val="0"/>
              <w:rPr>
                <w:rFonts w:ascii="Effra" w:hAnsi="Effra" w:cs="Effra"/>
                <w:bCs/>
                <w:color w:val="000000" w:themeColor="text1"/>
                <w:sz w:val="25"/>
                <w:szCs w:val="25"/>
              </w:rPr>
            </w:pPr>
            <w:r w:rsidRPr="00D424A6">
              <w:rPr>
                <w:rFonts w:ascii="Effra" w:hAnsi="Effra" w:cs="Effra"/>
                <w:bCs/>
                <w:color w:val="000000" w:themeColor="text1"/>
                <w:sz w:val="25"/>
                <w:szCs w:val="25"/>
              </w:rPr>
              <w:t>Sherri_Meitzler@glic.com</w:t>
            </w:r>
          </w:p>
          <w:p w14:paraId="0720D1DD" w14:textId="77777777" w:rsidR="00AA433F" w:rsidRPr="00D424A6" w:rsidRDefault="00AA433F" w:rsidP="00AA433F">
            <w:pPr>
              <w:pStyle w:val="ListParagraph"/>
              <w:numPr>
                <w:ilvl w:val="0"/>
                <w:numId w:val="1"/>
              </w:numPr>
              <w:autoSpaceDE w:val="0"/>
              <w:autoSpaceDN w:val="0"/>
              <w:adjustRightInd w:val="0"/>
              <w:rPr>
                <w:rFonts w:ascii="Effra" w:hAnsi="Effra" w:cs="Effra"/>
                <w:bCs/>
                <w:color w:val="000000" w:themeColor="text1"/>
                <w:sz w:val="26"/>
                <w:szCs w:val="26"/>
              </w:rPr>
            </w:pPr>
            <w:r w:rsidRPr="00D424A6">
              <w:rPr>
                <w:rFonts w:ascii="Effra" w:hAnsi="Effra" w:cs="Effra"/>
                <w:bCs/>
                <w:color w:val="000000" w:themeColor="text1"/>
                <w:sz w:val="25"/>
                <w:szCs w:val="25"/>
              </w:rPr>
              <w:t>610-807-6887</w:t>
            </w:r>
          </w:p>
          <w:p w14:paraId="5B5BAB96" w14:textId="057225CD" w:rsidR="00D424A6" w:rsidRPr="00D424A6" w:rsidRDefault="00D424A6" w:rsidP="00D424A6">
            <w:pPr>
              <w:pStyle w:val="ListParagraph"/>
              <w:autoSpaceDE w:val="0"/>
              <w:autoSpaceDN w:val="0"/>
              <w:adjustRightInd w:val="0"/>
              <w:ind w:left="360"/>
              <w:rPr>
                <w:rFonts w:ascii="Effra" w:hAnsi="Effra" w:cs="Effra"/>
                <w:bCs/>
                <w:color w:val="000000" w:themeColor="text1"/>
                <w:sz w:val="26"/>
                <w:szCs w:val="26"/>
              </w:rPr>
            </w:pPr>
          </w:p>
        </w:tc>
      </w:tr>
    </w:tbl>
    <w:p w14:paraId="01A056C5" w14:textId="40CC9098" w:rsidR="002E2B2C" w:rsidRPr="00D424A6" w:rsidRDefault="002E2B2C" w:rsidP="0060148B">
      <w:pPr>
        <w:tabs>
          <w:tab w:val="left" w:pos="1215"/>
        </w:tabs>
        <w:rPr>
          <w:rFonts w:ascii="Effra" w:hAnsi="Effra" w:cs="Effra"/>
        </w:rPr>
      </w:pPr>
      <w:r w:rsidRPr="002E2B2C">
        <w:drawing>
          <wp:inline distT="0" distB="0" distL="0" distR="0" wp14:anchorId="36ACC102" wp14:editId="1C7549E6">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525" cy="9525"/>
                    </a:xfrm>
                    <a:prstGeom prst="rect">
                      <a:avLst/>
                    </a:prstGeom>
                  </pic:spPr>
                </pic:pic>
              </a:graphicData>
            </a:graphic>
          </wp:inline>
        </w:drawing>
      </w:r>
      <w:r w:rsidRPr="002E2B2C">
        <w:drawing>
          <wp:inline distT="0" distB="0" distL="0" distR="0" wp14:anchorId="13418CEC" wp14:editId="54C80530">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525" cy="9525"/>
                    </a:xfrm>
                    <a:prstGeom prst="rect">
                      <a:avLst/>
                    </a:prstGeom>
                  </pic:spPr>
                </pic:pic>
              </a:graphicData>
            </a:graphic>
          </wp:inline>
        </w:drawing>
      </w:r>
    </w:p>
    <w:sectPr w:rsidR="002E2B2C" w:rsidRPr="00D424A6" w:rsidSect="002E2B2C">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Effra">
    <w:altName w:val="Effra"/>
    <w:panose1 w:val="020B0603020203020204"/>
    <w:charset w:val="00"/>
    <w:family w:val="swiss"/>
    <w:pitch w:val="variable"/>
    <w:sig w:usb0="A00022EF" w:usb1="D000A05B" w:usb2="00000008" w:usb3="00000000" w:csb0="000000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F670D"/>
    <w:multiLevelType w:val="hybridMultilevel"/>
    <w:tmpl w:val="429EF7B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2135A1"/>
    <w:multiLevelType w:val="hybridMultilevel"/>
    <w:tmpl w:val="99480748"/>
    <w:lvl w:ilvl="0" w:tplc="0409000B">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6AB394F"/>
    <w:multiLevelType w:val="hybridMultilevel"/>
    <w:tmpl w:val="DCC29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866A3D"/>
    <w:multiLevelType w:val="hybridMultilevel"/>
    <w:tmpl w:val="04103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4F163B"/>
    <w:multiLevelType w:val="hybridMultilevel"/>
    <w:tmpl w:val="C5DC027C"/>
    <w:lvl w:ilvl="0" w:tplc="6E321660">
      <w:start w:val="1"/>
      <w:numFmt w:val="bullet"/>
      <w:lvlText w:val="o"/>
      <w:lvlJc w:val="left"/>
      <w:pPr>
        <w:ind w:left="1440" w:hanging="360"/>
      </w:pPr>
      <w:rPr>
        <w:rFonts w:ascii="Courier New" w:hAnsi="Courier New" w:cs="Courier New" w:hint="default"/>
      </w:rPr>
    </w:lvl>
    <w:lvl w:ilvl="1" w:tplc="A146A80C">
      <w:start w:val="1"/>
      <w:numFmt w:val="bullet"/>
      <w:lvlText w:val="o"/>
      <w:lvlJc w:val="left"/>
      <w:pPr>
        <w:ind w:left="2160" w:hanging="360"/>
      </w:pPr>
      <w:rPr>
        <w:rFonts w:ascii="Courier New" w:hAnsi="Courier New" w:cs="Courier New" w:hint="default"/>
      </w:rPr>
    </w:lvl>
    <w:lvl w:ilvl="2" w:tplc="658E57E8">
      <w:start w:val="1"/>
      <w:numFmt w:val="bullet"/>
      <w:lvlText w:val=""/>
      <w:lvlJc w:val="left"/>
      <w:pPr>
        <w:ind w:left="2880" w:hanging="360"/>
      </w:pPr>
      <w:rPr>
        <w:rFonts w:ascii="Wingdings" w:hAnsi="Wingdings" w:hint="default"/>
      </w:rPr>
    </w:lvl>
    <w:lvl w:ilvl="3" w:tplc="B84CE2F2">
      <w:start w:val="1"/>
      <w:numFmt w:val="bullet"/>
      <w:lvlText w:val=""/>
      <w:lvlJc w:val="left"/>
      <w:pPr>
        <w:ind w:left="3600" w:hanging="360"/>
      </w:pPr>
      <w:rPr>
        <w:rFonts w:ascii="Symbol" w:hAnsi="Symbol" w:hint="default"/>
      </w:rPr>
    </w:lvl>
    <w:lvl w:ilvl="4" w:tplc="F168DA34">
      <w:start w:val="1"/>
      <w:numFmt w:val="bullet"/>
      <w:lvlText w:val="o"/>
      <w:lvlJc w:val="left"/>
      <w:pPr>
        <w:ind w:left="4320" w:hanging="360"/>
      </w:pPr>
      <w:rPr>
        <w:rFonts w:ascii="Courier New" w:hAnsi="Courier New" w:cs="Courier New" w:hint="default"/>
      </w:rPr>
    </w:lvl>
    <w:lvl w:ilvl="5" w:tplc="A86A72C8">
      <w:start w:val="1"/>
      <w:numFmt w:val="bullet"/>
      <w:lvlText w:val=""/>
      <w:lvlJc w:val="left"/>
      <w:pPr>
        <w:ind w:left="5040" w:hanging="360"/>
      </w:pPr>
      <w:rPr>
        <w:rFonts w:ascii="Wingdings" w:hAnsi="Wingdings" w:hint="default"/>
      </w:rPr>
    </w:lvl>
    <w:lvl w:ilvl="6" w:tplc="E9B09CBC">
      <w:start w:val="1"/>
      <w:numFmt w:val="bullet"/>
      <w:lvlText w:val=""/>
      <w:lvlJc w:val="left"/>
      <w:pPr>
        <w:ind w:left="5760" w:hanging="360"/>
      </w:pPr>
      <w:rPr>
        <w:rFonts w:ascii="Symbol" w:hAnsi="Symbol" w:hint="default"/>
      </w:rPr>
    </w:lvl>
    <w:lvl w:ilvl="7" w:tplc="57A24960">
      <w:start w:val="1"/>
      <w:numFmt w:val="bullet"/>
      <w:lvlText w:val="o"/>
      <w:lvlJc w:val="left"/>
      <w:pPr>
        <w:ind w:left="6480" w:hanging="360"/>
      </w:pPr>
      <w:rPr>
        <w:rFonts w:ascii="Courier New" w:hAnsi="Courier New" w:cs="Courier New" w:hint="default"/>
      </w:rPr>
    </w:lvl>
    <w:lvl w:ilvl="8" w:tplc="591E5790">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9D2"/>
    <w:rsid w:val="00001153"/>
    <w:rsid w:val="000D1487"/>
    <w:rsid w:val="00221582"/>
    <w:rsid w:val="00232338"/>
    <w:rsid w:val="002B593A"/>
    <w:rsid w:val="002E2B2C"/>
    <w:rsid w:val="00406E8A"/>
    <w:rsid w:val="004C5CC9"/>
    <w:rsid w:val="005B0CF2"/>
    <w:rsid w:val="005C6294"/>
    <w:rsid w:val="0060148B"/>
    <w:rsid w:val="007364C9"/>
    <w:rsid w:val="00793C3C"/>
    <w:rsid w:val="0095776B"/>
    <w:rsid w:val="00A93F42"/>
    <w:rsid w:val="00AA433F"/>
    <w:rsid w:val="00AC400B"/>
    <w:rsid w:val="00AF5944"/>
    <w:rsid w:val="00B149D2"/>
    <w:rsid w:val="00C3222E"/>
    <w:rsid w:val="00C43330"/>
    <w:rsid w:val="00C447C9"/>
    <w:rsid w:val="00D424A6"/>
    <w:rsid w:val="00D655BF"/>
    <w:rsid w:val="00E06F2B"/>
    <w:rsid w:val="00ED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DD822"/>
  <w15:chartTrackingRefBased/>
  <w15:docId w15:val="{65F9ED39-4068-46E3-9D8D-E8A9632C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9D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9D2"/>
    <w:pPr>
      <w:ind w:left="720"/>
      <w:contextualSpacing/>
    </w:pPr>
    <w:rPr>
      <w:rFonts w:ascii="Times New Roman" w:eastAsia="Times New Roman" w:hAnsi="Times New Roman"/>
      <w:szCs w:val="24"/>
    </w:rPr>
  </w:style>
  <w:style w:type="table" w:styleId="TableGrid">
    <w:name w:val="Table Grid"/>
    <w:basedOn w:val="TableNormal"/>
    <w:uiPriority w:val="39"/>
    <w:rsid w:val="00B149D2"/>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68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Reeves</dc:creator>
  <cp:keywords/>
  <dc:description/>
  <cp:lastModifiedBy>John Tierno</cp:lastModifiedBy>
  <cp:revision>2</cp:revision>
  <dcterms:created xsi:type="dcterms:W3CDTF">2020-04-29T21:01:00Z</dcterms:created>
  <dcterms:modified xsi:type="dcterms:W3CDTF">2020-04-29T21:01:00Z</dcterms:modified>
</cp:coreProperties>
</file>