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0FBEC" w14:textId="6380ED96" w:rsidR="00930209" w:rsidRDefault="00930209" w:rsidP="00930209">
      <w:pPr>
        <w:tabs>
          <w:tab w:val="decimal" w:pos="6480"/>
        </w:tabs>
        <w:rPr>
          <w:rFonts w:cstheme="minorHAnsi"/>
          <w:i/>
          <w:sz w:val="24"/>
          <w:szCs w:val="24"/>
        </w:rPr>
      </w:pPr>
      <w:r>
        <w:rPr>
          <w:rFonts w:cstheme="minorHAnsi"/>
          <w:i/>
          <w:noProof/>
          <w:sz w:val="24"/>
          <w:szCs w:val="24"/>
        </w:rPr>
        <w:drawing>
          <wp:inline distT="0" distB="0" distL="0" distR="0" wp14:anchorId="11F5EDEE" wp14:editId="299C1290">
            <wp:extent cx="6218555" cy="2346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55" cy="234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A99530" w14:textId="77777777" w:rsidR="00930209" w:rsidRPr="004954F8" w:rsidRDefault="00930209" w:rsidP="00930209">
      <w:pPr>
        <w:rPr>
          <w:rFonts w:cstheme="minorHAnsi"/>
          <w:sz w:val="24"/>
          <w:szCs w:val="24"/>
        </w:rPr>
      </w:pPr>
      <w:r w:rsidRPr="004954F8">
        <w:rPr>
          <w:rFonts w:cstheme="minorHAnsi"/>
          <w:sz w:val="24"/>
          <w:szCs w:val="24"/>
        </w:rPr>
        <w:t>Training and Support Included with the license:</w:t>
      </w:r>
    </w:p>
    <w:p w14:paraId="72CD2934" w14:textId="6BEFE914" w:rsidR="00930209" w:rsidRDefault="00930209" w:rsidP="00930209">
      <w:pPr>
        <w:pStyle w:val="ListParagraph"/>
        <w:numPr>
          <w:ilvl w:val="0"/>
          <w:numId w:val="1"/>
        </w:numPr>
        <w:spacing w:before="100" w:after="200" w:line="276" w:lineRule="auto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Access to the Claros Analytics o</w:t>
      </w:r>
      <w:r w:rsidRPr="004954F8">
        <w:rPr>
          <w:rFonts w:cstheme="minorHAnsi"/>
          <w:color w:val="auto"/>
          <w:sz w:val="24"/>
          <w:szCs w:val="24"/>
        </w:rPr>
        <w:t xml:space="preserve">nline training </w:t>
      </w:r>
      <w:r>
        <w:rPr>
          <w:rFonts w:cstheme="minorHAnsi"/>
          <w:color w:val="auto"/>
          <w:sz w:val="24"/>
          <w:szCs w:val="24"/>
        </w:rPr>
        <w:t>library, including training videos</w:t>
      </w:r>
      <w:r w:rsidRPr="004954F8">
        <w:rPr>
          <w:rFonts w:cstheme="minorHAnsi"/>
          <w:color w:val="auto"/>
          <w:sz w:val="24"/>
          <w:szCs w:val="24"/>
        </w:rPr>
        <w:t xml:space="preserve"> and </w:t>
      </w:r>
      <w:r>
        <w:rPr>
          <w:rFonts w:cstheme="minorHAnsi"/>
          <w:color w:val="auto"/>
          <w:sz w:val="24"/>
          <w:szCs w:val="24"/>
        </w:rPr>
        <w:t xml:space="preserve">user </w:t>
      </w:r>
      <w:r w:rsidRPr="004954F8">
        <w:rPr>
          <w:rFonts w:cstheme="minorHAnsi"/>
          <w:color w:val="auto"/>
          <w:sz w:val="24"/>
          <w:szCs w:val="24"/>
        </w:rPr>
        <w:t>manual</w:t>
      </w:r>
      <w:r>
        <w:rPr>
          <w:rFonts w:cstheme="minorHAnsi"/>
          <w:color w:val="auto"/>
          <w:sz w:val="24"/>
          <w:szCs w:val="24"/>
        </w:rPr>
        <w:t>s for all issued licenses</w:t>
      </w:r>
    </w:p>
    <w:p w14:paraId="6DCD8811" w14:textId="6E5C95F4" w:rsidR="00D96396" w:rsidRPr="00D96396" w:rsidRDefault="00D96396" w:rsidP="00D96396">
      <w:pPr>
        <w:pStyle w:val="ListParagraph"/>
        <w:numPr>
          <w:ilvl w:val="0"/>
          <w:numId w:val="1"/>
        </w:numPr>
        <w:spacing w:before="100" w:after="200" w:line="276" w:lineRule="auto"/>
        <w:rPr>
          <w:rFonts w:eastAsia="Times New Roman"/>
          <w:sz w:val="24"/>
          <w:szCs w:val="24"/>
        </w:rPr>
      </w:pPr>
      <w:r w:rsidRPr="00D96396">
        <w:rPr>
          <w:rFonts w:eastAsia="Times New Roman"/>
          <w:sz w:val="24"/>
          <w:szCs w:val="24"/>
        </w:rPr>
        <w:t>Initial Training for UBA is done on a weekly basis starting with the 2</w:t>
      </w:r>
      <w:r w:rsidRPr="00D96396">
        <w:rPr>
          <w:rFonts w:eastAsia="Times New Roman"/>
          <w:sz w:val="24"/>
          <w:szCs w:val="24"/>
          <w:vertAlign w:val="superscript"/>
        </w:rPr>
        <w:t>nd</w:t>
      </w:r>
      <w:r w:rsidRPr="00D96396">
        <w:rPr>
          <w:rFonts w:eastAsia="Times New Roman"/>
          <w:sz w:val="24"/>
          <w:szCs w:val="24"/>
        </w:rPr>
        <w:t xml:space="preserve"> week of the month. One application per week. </w:t>
      </w:r>
    </w:p>
    <w:p w14:paraId="354EC62E" w14:textId="77777777" w:rsidR="00930209" w:rsidRDefault="00930209" w:rsidP="00930209">
      <w:pPr>
        <w:pStyle w:val="ListParagraph"/>
        <w:numPr>
          <w:ilvl w:val="0"/>
          <w:numId w:val="1"/>
        </w:numPr>
        <w:spacing w:before="100" w:after="200" w:line="276" w:lineRule="auto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Tier One Support: </w:t>
      </w:r>
    </w:p>
    <w:p w14:paraId="2A15988C" w14:textId="19C0BE39" w:rsidR="00930209" w:rsidRDefault="00930209" w:rsidP="00930209">
      <w:pPr>
        <w:pStyle w:val="ListParagraph"/>
        <w:numPr>
          <w:ilvl w:val="1"/>
          <w:numId w:val="1"/>
        </w:numPr>
        <w:spacing w:before="100" w:after="200" w:line="276" w:lineRule="auto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Available to all users </w:t>
      </w:r>
    </w:p>
    <w:p w14:paraId="1989F16D" w14:textId="77777777" w:rsidR="00930209" w:rsidRDefault="00930209" w:rsidP="00930209">
      <w:pPr>
        <w:pStyle w:val="ListParagraph"/>
        <w:numPr>
          <w:ilvl w:val="1"/>
          <w:numId w:val="1"/>
        </w:numPr>
        <w:spacing w:before="100" w:after="200" w:line="276" w:lineRule="auto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Installation support, functionality of the application, fundamental operations</w:t>
      </w:r>
    </w:p>
    <w:p w14:paraId="5BFFAFC6" w14:textId="124E5292" w:rsidR="00930209" w:rsidRDefault="00930209" w:rsidP="00930209">
      <w:pPr>
        <w:pStyle w:val="ListParagraph"/>
        <w:numPr>
          <w:ilvl w:val="0"/>
          <w:numId w:val="1"/>
        </w:numPr>
        <w:spacing w:before="100" w:after="200" w:line="276" w:lineRule="auto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Tier Two Support: </w:t>
      </w:r>
    </w:p>
    <w:p w14:paraId="61C277EA" w14:textId="72113DEA" w:rsidR="00930209" w:rsidRDefault="00930209" w:rsidP="00930209">
      <w:pPr>
        <w:pStyle w:val="ListParagraph"/>
        <w:numPr>
          <w:ilvl w:val="1"/>
          <w:numId w:val="1"/>
        </w:numPr>
        <w:spacing w:before="100" w:after="200" w:line="276" w:lineRule="auto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Actuarial support</w:t>
      </w:r>
    </w:p>
    <w:p w14:paraId="5DC469D4" w14:textId="170F2ABC" w:rsidR="00930209" w:rsidRPr="00930209" w:rsidRDefault="00930209" w:rsidP="00930209">
      <w:pPr>
        <w:pStyle w:val="ListParagraph"/>
        <w:numPr>
          <w:ilvl w:val="1"/>
          <w:numId w:val="1"/>
        </w:numPr>
        <w:spacing w:before="100" w:after="200" w:line="276" w:lineRule="auto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12 hours of Tier Two Support to all UBA firms on first come first serve basis is included with the license. Once the 12 hours has been utilized</w:t>
      </w:r>
      <w:r w:rsidR="009925AD">
        <w:rPr>
          <w:rFonts w:cstheme="minorHAnsi"/>
          <w:color w:val="auto"/>
          <w:sz w:val="24"/>
          <w:szCs w:val="24"/>
        </w:rPr>
        <w:t xml:space="preserve"> your firm would have to purchase additional support.</w:t>
      </w:r>
    </w:p>
    <w:p w14:paraId="113F1DFC" w14:textId="3AA10A42" w:rsidR="00930209" w:rsidRDefault="00930209" w:rsidP="00930209">
      <w:pPr>
        <w:pStyle w:val="ListParagraph"/>
        <w:numPr>
          <w:ilvl w:val="0"/>
          <w:numId w:val="1"/>
        </w:numPr>
        <w:spacing w:before="100" w:after="200" w:line="276" w:lineRule="auto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Additional Tier Two Support can be purchased separately by UBA firms in 5-hour blocks at $250/hour ($1,250) </w:t>
      </w:r>
    </w:p>
    <w:p w14:paraId="6BB80A96" w14:textId="57CBCBD9" w:rsidR="00930209" w:rsidRPr="00D96396" w:rsidRDefault="00930209" w:rsidP="00930209">
      <w:pPr>
        <w:pStyle w:val="ListParagraph"/>
        <w:numPr>
          <w:ilvl w:val="0"/>
          <w:numId w:val="1"/>
        </w:numPr>
        <w:spacing w:before="100" w:after="200" w:line="276" w:lineRule="auto"/>
        <w:rPr>
          <w:rFonts w:cstheme="minorHAnsi"/>
          <w:b/>
          <w:bCs/>
          <w:i/>
          <w:iCs/>
          <w:color w:val="auto"/>
          <w:sz w:val="24"/>
          <w:szCs w:val="24"/>
        </w:rPr>
      </w:pPr>
      <w:r w:rsidRPr="00D96396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All active licensed users </w:t>
      </w:r>
      <w:r w:rsidR="009925AD" w:rsidRPr="00D96396">
        <w:rPr>
          <w:rFonts w:cstheme="minorHAnsi"/>
          <w:b/>
          <w:bCs/>
          <w:i/>
          <w:iCs/>
          <w:color w:val="auto"/>
          <w:sz w:val="24"/>
          <w:szCs w:val="24"/>
        </w:rPr>
        <w:t>will receive an invitation to</w:t>
      </w:r>
      <w:r w:rsidRPr="00D96396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attend Claros-hosted user webinars on a variety of topics throughout the year; open to all active users</w:t>
      </w:r>
      <w:r w:rsidR="009925AD" w:rsidRPr="00D96396">
        <w:rPr>
          <w:rFonts w:cstheme="minorHAnsi"/>
          <w:b/>
          <w:bCs/>
          <w:i/>
          <w:iCs/>
          <w:color w:val="auto"/>
          <w:sz w:val="24"/>
          <w:szCs w:val="24"/>
        </w:rPr>
        <w:t xml:space="preserve"> (usually 6-8 per year)</w:t>
      </w:r>
    </w:p>
    <w:p w14:paraId="030AF967" w14:textId="59A72B8A" w:rsidR="00D96396" w:rsidRPr="00D96396" w:rsidRDefault="00930209" w:rsidP="00930209">
      <w:pPr>
        <w:pStyle w:val="ListParagraph"/>
        <w:numPr>
          <w:ilvl w:val="0"/>
          <w:numId w:val="1"/>
        </w:numPr>
        <w:spacing w:before="100" w:after="200" w:line="276" w:lineRule="auto"/>
        <w:rPr>
          <w:rFonts w:cstheme="minorHAnsi"/>
          <w:b/>
          <w:bCs/>
          <w:i/>
          <w:iCs/>
          <w:color w:val="auto"/>
          <w:sz w:val="24"/>
          <w:szCs w:val="24"/>
        </w:rPr>
      </w:pPr>
      <w:r w:rsidRPr="00D96396">
        <w:rPr>
          <w:rFonts w:cstheme="minorHAnsi"/>
          <w:b/>
          <w:bCs/>
          <w:i/>
          <w:iCs/>
          <w:color w:val="auto"/>
          <w:sz w:val="24"/>
          <w:szCs w:val="24"/>
        </w:rPr>
        <w:t>One (1) additional training session per year exclusive to UBA members with active licenses; conducted via WebEx, up to three hours in duration.</w:t>
      </w:r>
    </w:p>
    <w:p w14:paraId="5735AFED" w14:textId="77777777" w:rsidR="00D96396" w:rsidRDefault="00D96396" w:rsidP="00930209">
      <w:pPr>
        <w:spacing w:before="100" w:after="20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</w:t>
      </w:r>
      <w:r w:rsidR="00930209" w:rsidRPr="00663CA8">
        <w:rPr>
          <w:rFonts w:cstheme="minorHAnsi"/>
          <w:b/>
          <w:sz w:val="24"/>
          <w:szCs w:val="24"/>
        </w:rPr>
        <w:t>Note that this pricing proposal is confidential and exclusive to UB</w:t>
      </w:r>
      <w:r w:rsidR="00930209">
        <w:rPr>
          <w:rFonts w:cstheme="minorHAnsi"/>
          <w:b/>
          <w:sz w:val="24"/>
          <w:szCs w:val="24"/>
        </w:rPr>
        <w:t>A</w:t>
      </w:r>
      <w:r w:rsidR="00930209" w:rsidRPr="00663CA8">
        <w:rPr>
          <w:rFonts w:cstheme="minorHAnsi"/>
          <w:b/>
          <w:sz w:val="24"/>
          <w:szCs w:val="24"/>
        </w:rPr>
        <w:t>.</w:t>
      </w:r>
    </w:p>
    <w:p w14:paraId="35F920CB" w14:textId="574E68D2" w:rsidR="004170E5" w:rsidRPr="00D96396" w:rsidRDefault="00D96396" w:rsidP="00D96396">
      <w:pPr>
        <w:spacing w:before="100" w:after="20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</w:t>
      </w:r>
      <w:r w:rsidR="00930209" w:rsidRPr="00663CA8">
        <w:rPr>
          <w:rFonts w:cstheme="minorHAnsi"/>
          <w:b/>
          <w:sz w:val="24"/>
          <w:szCs w:val="24"/>
        </w:rPr>
        <w:t xml:space="preserve">his pricing proposal, </w:t>
      </w:r>
      <w:r w:rsidR="00930209">
        <w:rPr>
          <w:rFonts w:cstheme="minorHAnsi"/>
          <w:b/>
          <w:sz w:val="24"/>
          <w:szCs w:val="24"/>
        </w:rPr>
        <w:t>and</w:t>
      </w:r>
      <w:r w:rsidR="00930209" w:rsidRPr="00663CA8">
        <w:rPr>
          <w:rFonts w:cstheme="minorHAnsi"/>
          <w:b/>
          <w:sz w:val="24"/>
          <w:szCs w:val="24"/>
        </w:rPr>
        <w:t xml:space="preserve"> pricing of any license agreement executed based on this proposal, or any subsequent pricing proposal for UBA, may not be communicated to any person or agency outside of UBA.</w:t>
      </w:r>
      <w:bookmarkStart w:id="0" w:name="_GoBack"/>
      <w:bookmarkEnd w:id="0"/>
    </w:p>
    <w:sectPr w:rsidR="004170E5" w:rsidRPr="00D96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A2E21"/>
    <w:multiLevelType w:val="hybridMultilevel"/>
    <w:tmpl w:val="30D2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A7F1C"/>
    <w:multiLevelType w:val="hybridMultilevel"/>
    <w:tmpl w:val="4810DAE8"/>
    <w:lvl w:ilvl="0" w:tplc="9932B49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09"/>
    <w:rsid w:val="004170E5"/>
    <w:rsid w:val="004B54C4"/>
    <w:rsid w:val="00930209"/>
    <w:rsid w:val="009925AD"/>
    <w:rsid w:val="00D9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E8278"/>
  <w15:chartTrackingRefBased/>
  <w15:docId w15:val="{5ECB8028-011A-463C-A959-42BEAF07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930209"/>
    <w:pPr>
      <w:spacing w:after="320" w:line="300" w:lineRule="auto"/>
      <w:ind w:left="720"/>
      <w:contextualSpacing/>
    </w:pPr>
    <w:rPr>
      <w:rFonts w:eastAsiaTheme="minorEastAsia"/>
      <w:color w:val="44546A" w:themeColor="text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8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True</dc:creator>
  <cp:keywords/>
  <dc:description/>
  <cp:lastModifiedBy>Kathy True</cp:lastModifiedBy>
  <cp:revision>2</cp:revision>
  <dcterms:created xsi:type="dcterms:W3CDTF">2019-07-12T13:53:00Z</dcterms:created>
  <dcterms:modified xsi:type="dcterms:W3CDTF">2019-07-12T13:53:00Z</dcterms:modified>
</cp:coreProperties>
</file>