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92" w:type="dxa"/>
        <w:tblLayout w:type="fixed"/>
        <w:tblLook w:val="04A0" w:firstRow="1" w:lastRow="0" w:firstColumn="1" w:lastColumn="0" w:noHBand="0" w:noVBand="1"/>
      </w:tblPr>
      <w:tblGrid>
        <w:gridCol w:w="900"/>
        <w:gridCol w:w="7692"/>
      </w:tblGrid>
      <w:tr w:rsidR="00FD521A" w:rsidTr="00195BA6">
        <w:trPr>
          <w:cantSplit/>
          <w:trHeight w:val="4149"/>
        </w:trPr>
        <w:tc>
          <w:tcPr>
            <w:tcW w:w="900" w:type="dxa"/>
            <w:tcBorders>
              <w:top w:val="nil"/>
              <w:left w:val="nil"/>
              <w:bottom w:val="nil"/>
              <w:right w:val="nil"/>
            </w:tcBorders>
            <w:shd w:val="clear" w:color="auto" w:fill="74AA50"/>
            <w:textDirection w:val="btLr"/>
          </w:tcPr>
          <w:p w:rsidR="00FD521A" w:rsidRPr="00463CE8" w:rsidRDefault="004E1F38" w:rsidP="00FD521A">
            <w:pPr>
              <w:spacing w:before="120" w:after="120"/>
              <w:ind w:left="113" w:right="113"/>
              <w:jc w:val="center"/>
              <w:rPr>
                <w:rFonts w:ascii="Open Sans" w:hAnsi="Open Sans" w:cs="Open Sans"/>
                <w:b/>
                <w:color w:val="FFFFFF"/>
                <w:sz w:val="32"/>
                <w:szCs w:val="32"/>
              </w:rPr>
            </w:pPr>
            <w:r w:rsidRPr="00463CE8">
              <w:rPr>
                <w:rFonts w:ascii="Open Sans" w:hAnsi="Open Sans" w:cs="Open Sans"/>
                <w:b/>
                <w:color w:val="FFFFFF"/>
                <w:sz w:val="32"/>
                <w:szCs w:val="32"/>
              </w:rPr>
              <w:t>Self-Paced Courses</w:t>
            </w:r>
          </w:p>
        </w:tc>
        <w:tc>
          <w:tcPr>
            <w:tcW w:w="7692" w:type="dxa"/>
            <w:tcBorders>
              <w:top w:val="nil"/>
              <w:left w:val="nil"/>
              <w:bottom w:val="nil"/>
              <w:right w:val="nil"/>
            </w:tcBorders>
          </w:tcPr>
          <w:p w:rsidR="000710C9" w:rsidRDefault="000710C9" w:rsidP="004862DE">
            <w:pPr>
              <w:spacing w:before="120" w:after="120"/>
              <w:rPr>
                <w:rFonts w:ascii="Open Sans" w:hAnsi="Open Sans" w:cs="Open Sans"/>
                <w:b/>
                <w:color w:val="444444"/>
              </w:rPr>
            </w:pPr>
          </w:p>
          <w:p w:rsidR="003F53B7" w:rsidRPr="0037207B" w:rsidRDefault="003F53B7" w:rsidP="004862DE">
            <w:pPr>
              <w:spacing w:before="120" w:after="120"/>
              <w:rPr>
                <w:rFonts w:ascii="Open Sans" w:hAnsi="Open Sans" w:cs="Open Sans"/>
                <w:b/>
                <w:color w:val="444444"/>
              </w:rPr>
            </w:pPr>
            <w:r w:rsidRPr="0037207B">
              <w:rPr>
                <w:rFonts w:ascii="Open Sans" w:hAnsi="Open Sans" w:cs="Open Sans"/>
                <w:b/>
                <w:color w:val="444444"/>
              </w:rPr>
              <w:t xml:space="preserve">We offer ten unique self-paced trainings applicable to home visitors and supervisors. Trainings typically take 2-3 hours to complete. Each self-paced course can be started and stopped at your convenience. Trainings do not expire. Once you are enrolled, you can always refer back to your training at any point in the future. </w:t>
            </w:r>
          </w:p>
          <w:p w:rsidR="003F53B7" w:rsidRPr="000710C9" w:rsidRDefault="003F53B7" w:rsidP="004862DE">
            <w:pPr>
              <w:spacing w:before="120" w:after="120"/>
              <w:rPr>
                <w:rFonts w:ascii="Open Sans" w:hAnsi="Open Sans" w:cs="Open Sans"/>
                <w:b/>
                <w:color w:val="70AD47" w:themeColor="accent6"/>
              </w:rPr>
            </w:pPr>
            <w:r w:rsidRPr="0037207B">
              <w:rPr>
                <w:rFonts w:ascii="Open Sans" w:hAnsi="Open Sans" w:cs="Open Sans"/>
                <w:b/>
                <w:color w:val="70AD47" w:themeColor="accent6"/>
              </w:rPr>
              <w:t>To enroll, visit www.theOunce.org/AchieveOnDemand.</w:t>
            </w:r>
          </w:p>
          <w:p w:rsidR="00DC7DF4" w:rsidRPr="00DC7DF4" w:rsidRDefault="00DC7DF4" w:rsidP="004862DE">
            <w:pPr>
              <w:spacing w:before="120" w:after="120"/>
              <w:rPr>
                <w:rFonts w:ascii="Open Sans" w:hAnsi="Open Sans" w:cs="Open Sans"/>
                <w:b/>
                <w:color w:val="444444"/>
                <w:sz w:val="16"/>
                <w:szCs w:val="16"/>
              </w:rPr>
            </w:pP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Foundations for Practice</w:t>
            </w:r>
          </w:p>
          <w:p w:rsidR="004E1F38" w:rsidRPr="00DC7DF4" w:rsidRDefault="004E1F38" w:rsidP="004862DE">
            <w:pPr>
              <w:pStyle w:val="ListParagraph"/>
              <w:numPr>
                <w:ilvl w:val="0"/>
                <w:numId w:val="5"/>
              </w:numPr>
              <w:spacing w:before="120" w:after="120"/>
              <w:rPr>
                <w:rFonts w:ascii="Open Sans" w:hAnsi="Open Sans" w:cs="Open Sans"/>
                <w:color w:val="444444"/>
              </w:rPr>
            </w:pPr>
            <w:r w:rsidRPr="00DC7DF4">
              <w:rPr>
                <w:rFonts w:ascii="Open Sans" w:hAnsi="Open Sans" w:cs="Open Sans"/>
                <w:color w:val="444444"/>
              </w:rPr>
              <w:t>Basics of Home Visiting</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Domestic Violence</w:t>
            </w:r>
          </w:p>
          <w:p w:rsidR="004E1F38" w:rsidRPr="00DC7DF4" w:rsidRDefault="004E1F38" w:rsidP="004862DE">
            <w:pPr>
              <w:pStyle w:val="ListParagraph"/>
              <w:numPr>
                <w:ilvl w:val="0"/>
                <w:numId w:val="5"/>
              </w:numPr>
              <w:spacing w:before="120" w:after="120"/>
              <w:rPr>
                <w:rFonts w:ascii="Open Sans" w:hAnsi="Open Sans" w:cs="Open Sans"/>
                <w:color w:val="444444"/>
              </w:rPr>
            </w:pPr>
            <w:r w:rsidRPr="00DC7DF4">
              <w:rPr>
                <w:rFonts w:ascii="Open Sans" w:hAnsi="Open Sans" w:cs="Open Sans"/>
                <w:color w:val="444444"/>
              </w:rPr>
              <w:t>Domestic Violence in Home Visiting</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Infant Mental Health Practice</w:t>
            </w:r>
          </w:p>
          <w:p w:rsidR="004E1F38" w:rsidRPr="00DC7DF4" w:rsidRDefault="004E1F38" w:rsidP="004862DE">
            <w:pPr>
              <w:pStyle w:val="ListParagraph"/>
              <w:numPr>
                <w:ilvl w:val="0"/>
                <w:numId w:val="5"/>
              </w:numPr>
              <w:spacing w:before="120" w:after="120"/>
              <w:rPr>
                <w:rFonts w:ascii="Open Sans" w:hAnsi="Open Sans" w:cs="Open Sans"/>
                <w:color w:val="444444"/>
              </w:rPr>
            </w:pPr>
            <w:r w:rsidRPr="00DC7DF4">
              <w:rPr>
                <w:rFonts w:ascii="Open Sans" w:hAnsi="Open Sans" w:cs="Open Sans"/>
                <w:color w:val="444444"/>
              </w:rPr>
              <w:t>Foundation of Infant Mental Health Practice in Home Visiting</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Substance Abuse</w:t>
            </w:r>
          </w:p>
          <w:p w:rsidR="004E1F38" w:rsidRPr="00DC7DF4" w:rsidRDefault="004E1F38" w:rsidP="004862DE">
            <w:pPr>
              <w:pStyle w:val="ListParagraph"/>
              <w:numPr>
                <w:ilvl w:val="0"/>
                <w:numId w:val="5"/>
              </w:numPr>
              <w:spacing w:before="120" w:after="120"/>
              <w:rPr>
                <w:rFonts w:ascii="Open Sans" w:hAnsi="Open Sans" w:cs="Open Sans"/>
                <w:color w:val="444444"/>
              </w:rPr>
            </w:pPr>
            <w:r w:rsidRPr="00DC7DF4">
              <w:rPr>
                <w:rFonts w:ascii="Open Sans" w:hAnsi="Open Sans" w:cs="Open Sans"/>
                <w:color w:val="444444"/>
              </w:rPr>
              <w:t>Challenges in Home Visiting: Substance Abuse</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Trauma-Informed Practice</w:t>
            </w:r>
          </w:p>
          <w:p w:rsidR="004E1F38" w:rsidRPr="00DC7DF4" w:rsidRDefault="004E1F38" w:rsidP="004862DE">
            <w:pPr>
              <w:pStyle w:val="ListParagraph"/>
              <w:numPr>
                <w:ilvl w:val="0"/>
                <w:numId w:val="5"/>
              </w:numPr>
              <w:spacing w:before="120" w:after="120"/>
              <w:rPr>
                <w:rFonts w:ascii="Open Sans" w:hAnsi="Open Sans" w:cs="Open Sans"/>
                <w:color w:val="444444"/>
              </w:rPr>
            </w:pPr>
            <w:r w:rsidRPr="00DC7DF4">
              <w:rPr>
                <w:rFonts w:ascii="Open Sans" w:hAnsi="Open Sans" w:cs="Open Sans"/>
                <w:color w:val="444444"/>
              </w:rPr>
              <w:t>The Impact of Trauma in Home Visiting</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Supervising Home Visitors</w:t>
            </w:r>
          </w:p>
          <w:p w:rsidR="00FD521A" w:rsidRPr="00DC7DF4" w:rsidRDefault="004E1F38" w:rsidP="004862DE">
            <w:pPr>
              <w:pStyle w:val="ListParagraph"/>
              <w:numPr>
                <w:ilvl w:val="0"/>
                <w:numId w:val="5"/>
              </w:numPr>
              <w:spacing w:before="120" w:after="120"/>
              <w:rPr>
                <w:rFonts w:ascii="Open Sans" w:hAnsi="Open Sans" w:cs="Open Sans"/>
                <w:color w:val="444444"/>
              </w:rPr>
            </w:pPr>
            <w:r w:rsidRPr="00DC7DF4">
              <w:rPr>
                <w:rFonts w:ascii="Open Sans" w:hAnsi="Open Sans" w:cs="Open Sans"/>
                <w:color w:val="444444"/>
              </w:rPr>
              <w:t>Supervising Home Visitors</w:t>
            </w:r>
          </w:p>
          <w:p w:rsidR="004E1F38" w:rsidRPr="00DC7DF4" w:rsidRDefault="004E1F38" w:rsidP="004862DE">
            <w:pPr>
              <w:pStyle w:val="ListParagraph"/>
              <w:numPr>
                <w:ilvl w:val="0"/>
                <w:numId w:val="5"/>
              </w:numPr>
              <w:spacing w:before="120" w:after="120"/>
              <w:rPr>
                <w:rFonts w:ascii="Open Sans" w:hAnsi="Open Sans" w:cs="Open Sans"/>
                <w:color w:val="444444"/>
              </w:rPr>
            </w:pPr>
            <w:r w:rsidRPr="00DC7DF4">
              <w:rPr>
                <w:rFonts w:ascii="Open Sans" w:hAnsi="Open Sans" w:cs="Open Sans"/>
                <w:color w:val="444444"/>
              </w:rPr>
              <w:t>The Impact of Trauma in Supervising Home Visitors</w:t>
            </w:r>
          </w:p>
          <w:p w:rsidR="00EB26F0" w:rsidRPr="00DC7DF4" w:rsidRDefault="00EB26F0" w:rsidP="00EB26F0">
            <w:pPr>
              <w:spacing w:before="120" w:after="120"/>
              <w:rPr>
                <w:rFonts w:ascii="Open Sans" w:hAnsi="Open Sans" w:cs="Open Sans"/>
                <w:b/>
                <w:color w:val="444444"/>
              </w:rPr>
            </w:pPr>
            <w:r w:rsidRPr="00DC7DF4">
              <w:rPr>
                <w:rFonts w:ascii="Open Sans" w:hAnsi="Open Sans" w:cs="Open Sans"/>
                <w:b/>
                <w:color w:val="444444"/>
              </w:rPr>
              <w:t>Content Area: ASQ-3</w:t>
            </w:r>
          </w:p>
          <w:p w:rsidR="00EB26F0" w:rsidRPr="00DC7DF4" w:rsidRDefault="00EB26F0" w:rsidP="00EB26F0">
            <w:pPr>
              <w:pStyle w:val="ListParagraph"/>
              <w:numPr>
                <w:ilvl w:val="0"/>
                <w:numId w:val="5"/>
              </w:numPr>
              <w:spacing w:before="120" w:after="120"/>
              <w:rPr>
                <w:rFonts w:ascii="Open Sans" w:hAnsi="Open Sans" w:cs="Open Sans"/>
                <w:color w:val="444444"/>
              </w:rPr>
            </w:pPr>
            <w:r w:rsidRPr="00DC7DF4">
              <w:rPr>
                <w:rFonts w:ascii="Open Sans" w:hAnsi="Open Sans" w:cs="Open Sans"/>
                <w:color w:val="444444"/>
              </w:rPr>
              <w:t>Ages and Stages Questionnaire 3 (ASQ-3™) Overview and Best Practices</w:t>
            </w:r>
          </w:p>
          <w:p w:rsidR="00CD6DC3" w:rsidRPr="00DC7DF4" w:rsidRDefault="00CD6DC3" w:rsidP="00CD6DC3">
            <w:pPr>
              <w:spacing w:before="120" w:after="120"/>
              <w:rPr>
                <w:rFonts w:ascii="Open Sans" w:hAnsi="Open Sans" w:cs="Open Sans"/>
                <w:b/>
                <w:color w:val="444444"/>
              </w:rPr>
            </w:pPr>
            <w:r w:rsidRPr="00DC7DF4">
              <w:rPr>
                <w:rFonts w:ascii="Open Sans" w:hAnsi="Open Sans" w:cs="Open Sans"/>
                <w:b/>
                <w:color w:val="444444"/>
              </w:rPr>
              <w:t>Content Area: Family Engagement</w:t>
            </w:r>
          </w:p>
          <w:p w:rsidR="00CD6DC3" w:rsidRPr="00DC7DF4" w:rsidRDefault="00CD6DC3" w:rsidP="00CD6DC3">
            <w:pPr>
              <w:pStyle w:val="ListParagraph"/>
              <w:numPr>
                <w:ilvl w:val="0"/>
                <w:numId w:val="5"/>
              </w:numPr>
              <w:spacing w:before="120" w:after="120"/>
              <w:rPr>
                <w:rFonts w:ascii="Open Sans" w:hAnsi="Open Sans" w:cs="Open Sans"/>
                <w:color w:val="444444"/>
              </w:rPr>
            </w:pPr>
            <w:r w:rsidRPr="00DC7DF4">
              <w:rPr>
                <w:rFonts w:ascii="Open Sans" w:hAnsi="Open Sans" w:cs="Open Sans"/>
                <w:color w:val="444444"/>
              </w:rPr>
              <w:t>Building Engaging and Collaborative Relationships with Families</w:t>
            </w:r>
          </w:p>
          <w:p w:rsidR="00CD6DC3" w:rsidRPr="00DC7DF4" w:rsidRDefault="00CD6DC3" w:rsidP="00CD6DC3">
            <w:pPr>
              <w:spacing w:before="120" w:after="120"/>
              <w:rPr>
                <w:rFonts w:ascii="Open Sans" w:hAnsi="Open Sans" w:cs="Open Sans"/>
                <w:b/>
                <w:color w:val="444444"/>
              </w:rPr>
            </w:pPr>
            <w:r w:rsidRPr="00DC7DF4">
              <w:rPr>
                <w:rFonts w:ascii="Open Sans" w:hAnsi="Open Sans" w:cs="Open Sans"/>
                <w:b/>
                <w:color w:val="444444"/>
              </w:rPr>
              <w:t>Content Area: Prenatal Home Visiting</w:t>
            </w:r>
          </w:p>
          <w:p w:rsidR="00CD6DC3" w:rsidRPr="00CD6DC3" w:rsidRDefault="00CD6DC3" w:rsidP="00CD6DC3">
            <w:pPr>
              <w:pStyle w:val="ListParagraph"/>
              <w:numPr>
                <w:ilvl w:val="0"/>
                <w:numId w:val="5"/>
              </w:numPr>
              <w:spacing w:before="120" w:after="120"/>
              <w:rPr>
                <w:rFonts w:ascii="Open Sans" w:hAnsi="Open Sans" w:cs="Open Sans"/>
                <w:color w:val="444444"/>
                <w:sz w:val="20"/>
                <w:szCs w:val="20"/>
              </w:rPr>
            </w:pPr>
            <w:r w:rsidRPr="00DC7DF4">
              <w:rPr>
                <w:rFonts w:ascii="Open Sans" w:hAnsi="Open Sans" w:cs="Open Sans"/>
                <w:color w:val="444444"/>
              </w:rPr>
              <w:t>Home Visiting with Families during Pregnancy</w:t>
            </w:r>
          </w:p>
        </w:tc>
      </w:tr>
      <w:tr w:rsidR="0097138D" w:rsidTr="0097138D">
        <w:trPr>
          <w:cantSplit/>
          <w:trHeight w:val="80"/>
        </w:trPr>
        <w:tc>
          <w:tcPr>
            <w:tcW w:w="900" w:type="dxa"/>
            <w:tcBorders>
              <w:top w:val="nil"/>
              <w:left w:val="nil"/>
              <w:bottom w:val="nil"/>
              <w:right w:val="nil"/>
            </w:tcBorders>
            <w:shd w:val="clear" w:color="auto" w:fill="auto"/>
            <w:textDirection w:val="btLr"/>
          </w:tcPr>
          <w:p w:rsidR="0097138D" w:rsidRPr="00463CE8" w:rsidRDefault="0097138D" w:rsidP="00FD521A">
            <w:pPr>
              <w:spacing w:before="120" w:after="120"/>
              <w:ind w:left="113" w:right="113"/>
              <w:jc w:val="center"/>
              <w:rPr>
                <w:rFonts w:ascii="Open Sans" w:hAnsi="Open Sans" w:cs="Open Sans"/>
                <w:b/>
                <w:color w:val="FFFFFF"/>
                <w:sz w:val="32"/>
                <w:szCs w:val="32"/>
              </w:rPr>
            </w:pPr>
          </w:p>
        </w:tc>
        <w:tc>
          <w:tcPr>
            <w:tcW w:w="7692" w:type="dxa"/>
            <w:tcBorders>
              <w:top w:val="nil"/>
              <w:left w:val="nil"/>
              <w:bottom w:val="nil"/>
              <w:right w:val="nil"/>
            </w:tcBorders>
          </w:tcPr>
          <w:p w:rsidR="0097138D" w:rsidRPr="00CD6DC3" w:rsidRDefault="0097138D" w:rsidP="004862DE">
            <w:pPr>
              <w:spacing w:before="120" w:after="120"/>
              <w:rPr>
                <w:rFonts w:ascii="Open Sans" w:hAnsi="Open Sans" w:cs="Open Sans"/>
                <w:b/>
                <w:color w:val="444444"/>
                <w:sz w:val="20"/>
                <w:szCs w:val="20"/>
              </w:rPr>
            </w:pPr>
          </w:p>
        </w:tc>
      </w:tr>
      <w:tr w:rsidR="00FD521A" w:rsidTr="00195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39"/>
        </w:trPr>
        <w:tc>
          <w:tcPr>
            <w:tcW w:w="900" w:type="dxa"/>
            <w:shd w:val="clear" w:color="auto" w:fill="0072CE"/>
            <w:textDirection w:val="btLr"/>
          </w:tcPr>
          <w:p w:rsidR="00FD521A" w:rsidRPr="00463CE8" w:rsidRDefault="00BB7F36" w:rsidP="00FD521A">
            <w:pPr>
              <w:spacing w:before="120" w:after="120"/>
              <w:ind w:left="113" w:right="113"/>
              <w:jc w:val="center"/>
              <w:rPr>
                <w:rFonts w:ascii="Open Sans" w:hAnsi="Open Sans" w:cs="Open Sans"/>
                <w:b/>
                <w:color w:val="444444"/>
                <w:sz w:val="32"/>
                <w:szCs w:val="32"/>
              </w:rPr>
            </w:pPr>
            <w:r w:rsidRPr="00463CE8">
              <w:rPr>
                <w:rFonts w:ascii="Open Sans" w:hAnsi="Open Sans" w:cs="Open Sans"/>
                <w:b/>
                <w:color w:val="FFFFFF"/>
                <w:sz w:val="32"/>
                <w:szCs w:val="32"/>
              </w:rPr>
              <w:lastRenderedPageBreak/>
              <w:t>Webinars</w:t>
            </w:r>
          </w:p>
        </w:tc>
        <w:tc>
          <w:tcPr>
            <w:tcW w:w="7692" w:type="dxa"/>
          </w:tcPr>
          <w:p w:rsidR="00DC7DF4" w:rsidRPr="00DC7DF4" w:rsidRDefault="003F53B7" w:rsidP="003F53B7">
            <w:pPr>
              <w:spacing w:before="120" w:after="120"/>
              <w:rPr>
                <w:rFonts w:ascii="Open Sans" w:hAnsi="Open Sans" w:cs="Open Sans"/>
                <w:b/>
                <w:color w:val="444444"/>
              </w:rPr>
            </w:pPr>
            <w:r w:rsidRPr="00DC7DF4">
              <w:rPr>
                <w:rFonts w:ascii="Open Sans" w:hAnsi="Open Sans" w:cs="Open Sans"/>
                <w:b/>
                <w:color w:val="444444"/>
              </w:rPr>
              <w:t xml:space="preserve">We offer </w:t>
            </w:r>
            <w:r w:rsidR="00DC7DF4" w:rsidRPr="00DC7DF4">
              <w:rPr>
                <w:rFonts w:ascii="Open Sans" w:hAnsi="Open Sans" w:cs="Open Sans"/>
                <w:b/>
                <w:color w:val="444444"/>
              </w:rPr>
              <w:t xml:space="preserve">12 </w:t>
            </w:r>
            <w:r w:rsidR="00DC7DF4">
              <w:rPr>
                <w:rFonts w:ascii="Open Sans" w:hAnsi="Open Sans" w:cs="Open Sans"/>
                <w:b/>
                <w:color w:val="444444"/>
              </w:rPr>
              <w:t xml:space="preserve">one-hour, live </w:t>
            </w:r>
            <w:r w:rsidR="00DC7DF4" w:rsidRPr="00DC7DF4">
              <w:rPr>
                <w:rFonts w:ascii="Open Sans" w:hAnsi="Open Sans" w:cs="Open Sans"/>
                <w:b/>
                <w:color w:val="444444"/>
              </w:rPr>
              <w:t xml:space="preserve">webinars </w:t>
            </w:r>
            <w:r w:rsidR="00DC7DF4">
              <w:rPr>
                <w:rFonts w:ascii="Open Sans" w:hAnsi="Open Sans" w:cs="Open Sans"/>
                <w:b/>
                <w:color w:val="444444"/>
              </w:rPr>
              <w:t xml:space="preserve">that are facilitated by home visiting professionals. </w:t>
            </w:r>
            <w:r w:rsidR="000710C9">
              <w:rPr>
                <w:rFonts w:ascii="Open Sans" w:hAnsi="Open Sans" w:cs="Open Sans"/>
                <w:b/>
                <w:color w:val="444444"/>
              </w:rPr>
              <w:t xml:space="preserve">Each webinar dive deeper into specific, real-life issues relevant to the field that were covered in the self-paced trainings. </w:t>
            </w:r>
            <w:r w:rsidR="00DC7DF4">
              <w:rPr>
                <w:rFonts w:ascii="Open Sans" w:hAnsi="Open Sans" w:cs="Open Sans"/>
                <w:b/>
                <w:color w:val="444444"/>
              </w:rPr>
              <w:t xml:space="preserve">These webinars </w:t>
            </w:r>
            <w:r w:rsidR="00DC7DF4" w:rsidRPr="00DC7DF4">
              <w:rPr>
                <w:rFonts w:ascii="Open Sans" w:hAnsi="Open Sans" w:cs="Open Sans"/>
                <w:b/>
                <w:color w:val="444444"/>
              </w:rPr>
              <w:t>are offered on a rotating basis</w:t>
            </w:r>
            <w:r w:rsidRPr="00DC7DF4">
              <w:rPr>
                <w:rFonts w:ascii="Open Sans" w:hAnsi="Open Sans" w:cs="Open Sans"/>
                <w:b/>
                <w:color w:val="444444"/>
              </w:rPr>
              <w:t xml:space="preserve">. </w:t>
            </w:r>
          </w:p>
          <w:p w:rsidR="003F53B7" w:rsidRPr="00DC7DF4" w:rsidRDefault="00DC7DF4" w:rsidP="003F53B7">
            <w:pPr>
              <w:spacing w:before="120" w:after="120"/>
              <w:rPr>
                <w:rFonts w:ascii="Open Sans" w:hAnsi="Open Sans" w:cs="Open Sans"/>
                <w:b/>
                <w:color w:val="4472C4" w:themeColor="accent5"/>
              </w:rPr>
            </w:pPr>
            <w:r w:rsidRPr="00DC7DF4">
              <w:rPr>
                <w:rFonts w:ascii="Open Sans" w:hAnsi="Open Sans" w:cs="Open Sans"/>
                <w:b/>
                <w:color w:val="4472C4" w:themeColor="accent5"/>
              </w:rPr>
              <w:t xml:space="preserve">Visit </w:t>
            </w:r>
            <w:hyperlink r:id="rId7" w:history="1">
              <w:r w:rsidRPr="00DC7DF4">
                <w:rPr>
                  <w:rStyle w:val="Hyperlink"/>
                  <w:rFonts w:ascii="Open Sans" w:hAnsi="Open Sans" w:cs="Open Sans"/>
                  <w:b/>
                  <w:color w:val="4472C4" w:themeColor="accent5"/>
                  <w:u w:val="none"/>
                </w:rPr>
                <w:t>www.theOunce.org/AchieveOnDemand</w:t>
              </w:r>
            </w:hyperlink>
            <w:r w:rsidRPr="00DC7DF4">
              <w:rPr>
                <w:rFonts w:ascii="Open Sans" w:hAnsi="Open Sans" w:cs="Open Sans"/>
                <w:b/>
                <w:color w:val="4472C4" w:themeColor="accent5"/>
              </w:rPr>
              <w:t xml:space="preserve"> to sign up</w:t>
            </w:r>
            <w:r w:rsidR="00A75032">
              <w:rPr>
                <w:rFonts w:ascii="Open Sans" w:hAnsi="Open Sans" w:cs="Open Sans"/>
                <w:b/>
                <w:color w:val="4472C4" w:themeColor="accent5"/>
              </w:rPr>
              <w:t xml:space="preserve"> for a webinar</w:t>
            </w:r>
            <w:bookmarkStart w:id="0" w:name="_GoBack"/>
            <w:bookmarkEnd w:id="0"/>
            <w:r w:rsidRPr="00DC7DF4">
              <w:rPr>
                <w:rFonts w:ascii="Open Sans" w:hAnsi="Open Sans" w:cs="Open Sans"/>
                <w:b/>
                <w:color w:val="4472C4" w:themeColor="accent5"/>
              </w:rPr>
              <w:t xml:space="preserve"> and view a current schedule.</w:t>
            </w:r>
          </w:p>
          <w:p w:rsidR="003F53B7" w:rsidRDefault="003F53B7" w:rsidP="004862DE">
            <w:pPr>
              <w:spacing w:before="120" w:after="120"/>
              <w:rPr>
                <w:rFonts w:ascii="Open Sans" w:hAnsi="Open Sans" w:cs="Open Sans"/>
                <w:b/>
                <w:color w:val="444444"/>
                <w:sz w:val="20"/>
                <w:szCs w:val="20"/>
              </w:rPr>
            </w:pP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Foundations for Practice</w:t>
            </w:r>
          </w:p>
          <w:p w:rsidR="00BB7F36" w:rsidRPr="00DC7DF4" w:rsidRDefault="00AE1824"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Being Present with Families</w:t>
            </w:r>
          </w:p>
          <w:p w:rsidR="004E1F38" w:rsidRPr="00DC7DF4" w:rsidRDefault="004E1F38"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Home Visiting Boundaries</w:t>
            </w:r>
          </w:p>
          <w:p w:rsidR="004E1F38" w:rsidRPr="00DC7DF4" w:rsidRDefault="004E1F38"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Home Visiting Safety</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Domestic Violence</w:t>
            </w:r>
          </w:p>
          <w:p w:rsidR="004E1F38" w:rsidRPr="00DC7DF4" w:rsidRDefault="004E1F38"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Safety Planning</w:t>
            </w:r>
          </w:p>
          <w:p w:rsidR="004E1F38" w:rsidRPr="00DC7DF4" w:rsidRDefault="004E1F38"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 xml:space="preserve">The Impact of Domestic Violence on Children </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Infant Mental Health Practice</w:t>
            </w:r>
          </w:p>
          <w:p w:rsidR="004E1F38" w:rsidRPr="00DC7DF4" w:rsidRDefault="004E1F38"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Matching Family Needs to Resources</w:t>
            </w:r>
          </w:p>
          <w:p w:rsidR="004E1F38" w:rsidRPr="00DC7DF4" w:rsidRDefault="004E1F38"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Exploring Values and Beliefs around Parenting</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Substance Abuse</w:t>
            </w:r>
          </w:p>
          <w:p w:rsidR="004E1F38" w:rsidRPr="00DC7DF4" w:rsidRDefault="004E1F38"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Understanding Substance Abuse Through the Family’s Lens</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Trauma-Informed Practice</w:t>
            </w:r>
          </w:p>
          <w:p w:rsidR="004E1F38" w:rsidRPr="00DC7DF4" w:rsidRDefault="004E1F38"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 xml:space="preserve">Trauma in Families and Communities </w:t>
            </w:r>
          </w:p>
          <w:p w:rsidR="004E1F38" w:rsidRPr="00DC7DF4" w:rsidRDefault="004E1F38" w:rsidP="004862DE">
            <w:pPr>
              <w:spacing w:before="120" w:after="120"/>
              <w:rPr>
                <w:rFonts w:ascii="Open Sans" w:hAnsi="Open Sans" w:cs="Open Sans"/>
                <w:b/>
                <w:color w:val="444444"/>
              </w:rPr>
            </w:pPr>
            <w:r w:rsidRPr="00DC7DF4">
              <w:rPr>
                <w:rFonts w:ascii="Open Sans" w:hAnsi="Open Sans" w:cs="Open Sans"/>
                <w:b/>
                <w:color w:val="444444"/>
              </w:rPr>
              <w:t>Content Area: Supervising Home Visitors</w:t>
            </w:r>
          </w:p>
          <w:p w:rsidR="00FD521A" w:rsidRPr="00DC7DF4" w:rsidRDefault="00AE1824"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Maintaining Boundaries in Home Visiting for Supervisors</w:t>
            </w:r>
          </w:p>
          <w:p w:rsidR="00CD6DC3" w:rsidRPr="00DC7DF4" w:rsidRDefault="004E1F38" w:rsidP="003F53B7">
            <w:pPr>
              <w:pStyle w:val="ListParagraph"/>
              <w:numPr>
                <w:ilvl w:val="0"/>
                <w:numId w:val="8"/>
              </w:numPr>
              <w:spacing w:before="120" w:after="120"/>
              <w:rPr>
                <w:rFonts w:ascii="Open Sans" w:hAnsi="Open Sans" w:cs="Open Sans"/>
                <w:color w:val="444444"/>
              </w:rPr>
            </w:pPr>
            <w:r w:rsidRPr="00DC7DF4">
              <w:rPr>
                <w:rFonts w:ascii="Open Sans" w:hAnsi="Open Sans" w:cs="Open Sans"/>
                <w:color w:val="444444"/>
              </w:rPr>
              <w:t>Implementing Tools to Enhance Home Visiting</w:t>
            </w:r>
          </w:p>
          <w:p w:rsidR="00CD6DC3" w:rsidRPr="004755A9" w:rsidRDefault="004E1F38" w:rsidP="003F53B7">
            <w:pPr>
              <w:pStyle w:val="ListParagraph"/>
              <w:numPr>
                <w:ilvl w:val="0"/>
                <w:numId w:val="8"/>
              </w:numPr>
              <w:spacing w:before="120" w:after="120"/>
              <w:rPr>
                <w:rFonts w:ascii="Open Sans" w:hAnsi="Open Sans" w:cs="Open Sans"/>
                <w:color w:val="444444"/>
                <w:sz w:val="20"/>
                <w:szCs w:val="20"/>
              </w:rPr>
            </w:pPr>
            <w:r w:rsidRPr="00DC7DF4">
              <w:rPr>
                <w:rFonts w:ascii="Open Sans" w:hAnsi="Open Sans" w:cs="Open Sans"/>
                <w:color w:val="444444"/>
              </w:rPr>
              <w:t>Trauma for Supervisors: Putting the Pieces Together</w:t>
            </w:r>
          </w:p>
        </w:tc>
      </w:tr>
    </w:tbl>
    <w:p w:rsidR="003D41DA" w:rsidRDefault="003D41DA" w:rsidP="004862DE">
      <w:pPr>
        <w:spacing w:before="120" w:after="120"/>
        <w:rPr>
          <w:rFonts w:ascii="Open Sans" w:hAnsi="Open Sans" w:cs="Open Sans"/>
          <w:color w:val="444444"/>
          <w:sz w:val="24"/>
          <w:szCs w:val="24"/>
        </w:rPr>
      </w:pPr>
    </w:p>
    <w:p w:rsidR="00DC7DF4" w:rsidRDefault="00DC7DF4" w:rsidP="004862DE">
      <w:pPr>
        <w:spacing w:before="120" w:after="120"/>
        <w:rPr>
          <w:rFonts w:ascii="Open Sans" w:hAnsi="Open Sans" w:cs="Open Sans"/>
          <w:color w:val="444444"/>
          <w:sz w:val="24"/>
          <w:szCs w:val="24"/>
        </w:rPr>
      </w:pPr>
    </w:p>
    <w:p w:rsidR="00DC7DF4" w:rsidRPr="003D41DA" w:rsidRDefault="00DC7DF4" w:rsidP="004862DE">
      <w:pPr>
        <w:spacing w:before="120" w:after="120"/>
        <w:rPr>
          <w:rFonts w:ascii="Open Sans" w:hAnsi="Open Sans" w:cs="Open Sans"/>
          <w:color w:val="444444"/>
          <w:sz w:val="24"/>
          <w:szCs w:val="24"/>
        </w:rPr>
      </w:pPr>
      <w:r>
        <w:rPr>
          <w:rFonts w:ascii="Open Sans" w:hAnsi="Open Sans" w:cs="Open Sans"/>
          <w:color w:val="444444"/>
          <w:sz w:val="24"/>
          <w:szCs w:val="24"/>
        </w:rPr>
        <w:t xml:space="preserve">Any questions? Call 312.453.1993 or email AchieveOnDemand@theOunce.org. </w:t>
      </w:r>
    </w:p>
    <w:sectPr w:rsidR="00DC7DF4" w:rsidRPr="003D41DA" w:rsidSect="00671D69">
      <w:headerReference w:type="default" r:id="rId8"/>
      <w:footerReference w:type="default" r:id="rId9"/>
      <w:pgSz w:w="12240" w:h="15840"/>
      <w:pgMar w:top="1296"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54" w:rsidRDefault="004B6054" w:rsidP="00325F1E">
      <w:pPr>
        <w:spacing w:after="0" w:line="240" w:lineRule="auto"/>
      </w:pPr>
      <w:r>
        <w:separator/>
      </w:r>
    </w:p>
  </w:endnote>
  <w:endnote w:type="continuationSeparator" w:id="0">
    <w:p w:rsidR="004B6054" w:rsidRDefault="004B6054" w:rsidP="0032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1E" w:rsidRDefault="00325F1E" w:rsidP="00325F1E">
    <w:pPr>
      <w:pStyle w:val="Footer"/>
      <w:ind w:firstLine="720"/>
      <w:jc w:val="center"/>
    </w:pPr>
    <w:r>
      <w:rPr>
        <w:noProof/>
      </w:rPr>
      <w:drawing>
        <wp:anchor distT="0" distB="0" distL="114300" distR="114300" simplePos="0" relativeHeight="251658240" behindDoc="0" locked="0" layoutInCell="1" allowOverlap="1" wp14:anchorId="1CD688D9" wp14:editId="6D4CACF8">
          <wp:simplePos x="0" y="0"/>
          <wp:positionH relativeFrom="column">
            <wp:posOffset>-190500</wp:posOffset>
          </wp:positionH>
          <wp:positionV relativeFrom="paragraph">
            <wp:posOffset>-191135</wp:posOffset>
          </wp:positionV>
          <wp:extent cx="1266825" cy="527511"/>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nce Achieve OnDeman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527511"/>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325F1E">
      <w:rPr>
        <w:rFonts w:ascii="Open Sans" w:hAnsi="Open Sans" w:cs="Open Sans"/>
        <w:color w:val="D22630"/>
      </w:rPr>
      <w:t>www.theounce.org/AchieveOnDemand/</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54" w:rsidRDefault="004B6054" w:rsidP="00325F1E">
      <w:pPr>
        <w:spacing w:after="0" w:line="240" w:lineRule="auto"/>
      </w:pPr>
      <w:r>
        <w:separator/>
      </w:r>
    </w:p>
  </w:footnote>
  <w:footnote w:type="continuationSeparator" w:id="0">
    <w:p w:rsidR="004B6054" w:rsidRDefault="004B6054" w:rsidP="00325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1DA" w:rsidRPr="00671D69" w:rsidRDefault="00C74A9C" w:rsidP="003D41DA">
    <w:pPr>
      <w:jc w:val="center"/>
      <w:rPr>
        <w:rFonts w:ascii="Open Sans" w:hAnsi="Open Sans" w:cs="Open Sans"/>
        <w:b/>
        <w:color w:val="39207C"/>
        <w:sz w:val="32"/>
        <w:szCs w:val="32"/>
      </w:rPr>
    </w:pPr>
    <w:r>
      <w:rPr>
        <w:rFonts w:ascii="Open Sans" w:hAnsi="Open Sans" w:cs="Open Sans"/>
        <w:b/>
        <w:color w:val="39207C"/>
        <w:sz w:val="32"/>
        <w:szCs w:val="32"/>
      </w:rPr>
      <w:t xml:space="preserve">   </w:t>
    </w:r>
    <w:r w:rsidR="004E1F38">
      <w:rPr>
        <w:rFonts w:ascii="Open Sans" w:hAnsi="Open Sans" w:cs="Open Sans"/>
        <w:b/>
        <w:color w:val="39207C"/>
        <w:sz w:val="32"/>
        <w:szCs w:val="32"/>
      </w:rPr>
      <w:t xml:space="preserve">Achieve </w:t>
    </w:r>
    <w:proofErr w:type="spellStart"/>
    <w:r w:rsidR="004E1F38">
      <w:rPr>
        <w:rFonts w:ascii="Open Sans" w:hAnsi="Open Sans" w:cs="Open Sans"/>
        <w:b/>
        <w:color w:val="39207C"/>
        <w:sz w:val="32"/>
        <w:szCs w:val="32"/>
      </w:rPr>
      <w:t>OnDemand</w:t>
    </w:r>
    <w:proofErr w:type="spellEnd"/>
    <w:r w:rsidR="004E1F38">
      <w:rPr>
        <w:rFonts w:ascii="Open Sans" w:hAnsi="Open Sans" w:cs="Open Sans"/>
        <w:b/>
        <w:color w:val="39207C"/>
        <w:sz w:val="32"/>
        <w:szCs w:val="32"/>
      </w:rPr>
      <w:t xml:space="preserve"> </w:t>
    </w:r>
    <w:r w:rsidR="003F53B7">
      <w:rPr>
        <w:rFonts w:ascii="Open Sans" w:hAnsi="Open Sans" w:cs="Open Sans"/>
        <w:b/>
        <w:color w:val="39207C"/>
        <w:sz w:val="32"/>
        <w:szCs w:val="32"/>
      </w:rPr>
      <w:t>Training</w:t>
    </w:r>
    <w:r w:rsidR="004E1F38">
      <w:rPr>
        <w:rFonts w:ascii="Open Sans" w:hAnsi="Open Sans" w:cs="Open Sans"/>
        <w:b/>
        <w:color w:val="39207C"/>
        <w:sz w:val="32"/>
        <w:szCs w:val="32"/>
      </w:rPr>
      <w:t xml:space="preserve"> Catalog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2F3"/>
    <w:multiLevelType w:val="hybridMultilevel"/>
    <w:tmpl w:val="5BE4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1782C"/>
    <w:multiLevelType w:val="hybridMultilevel"/>
    <w:tmpl w:val="E1B6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9409B"/>
    <w:multiLevelType w:val="hybridMultilevel"/>
    <w:tmpl w:val="D416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67640"/>
    <w:multiLevelType w:val="hybridMultilevel"/>
    <w:tmpl w:val="ABE2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3101"/>
    <w:multiLevelType w:val="hybridMultilevel"/>
    <w:tmpl w:val="7996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C5C71"/>
    <w:multiLevelType w:val="hybridMultilevel"/>
    <w:tmpl w:val="B1D6F4A4"/>
    <w:lvl w:ilvl="0" w:tplc="FF609FDE">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B280E"/>
    <w:multiLevelType w:val="hybridMultilevel"/>
    <w:tmpl w:val="F488C220"/>
    <w:lvl w:ilvl="0" w:tplc="FF609FDE">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74D20"/>
    <w:multiLevelType w:val="hybridMultilevel"/>
    <w:tmpl w:val="61D6D67C"/>
    <w:lvl w:ilvl="0" w:tplc="FF609FDE">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10"/>
    <w:rsid w:val="00066123"/>
    <w:rsid w:val="000710C9"/>
    <w:rsid w:val="000B74CB"/>
    <w:rsid w:val="00195BA6"/>
    <w:rsid w:val="002C70D7"/>
    <w:rsid w:val="00325F1E"/>
    <w:rsid w:val="0037207B"/>
    <w:rsid w:val="0039329E"/>
    <w:rsid w:val="003D41DA"/>
    <w:rsid w:val="003E0356"/>
    <w:rsid w:val="003F53B7"/>
    <w:rsid w:val="00444210"/>
    <w:rsid w:val="00463CE8"/>
    <w:rsid w:val="004755A9"/>
    <w:rsid w:val="0048452C"/>
    <w:rsid w:val="004862DE"/>
    <w:rsid w:val="004B6054"/>
    <w:rsid w:val="004E1F38"/>
    <w:rsid w:val="00671D69"/>
    <w:rsid w:val="00783362"/>
    <w:rsid w:val="007843A6"/>
    <w:rsid w:val="008223C4"/>
    <w:rsid w:val="00960BCE"/>
    <w:rsid w:val="0097138D"/>
    <w:rsid w:val="00A75032"/>
    <w:rsid w:val="00AB3BA1"/>
    <w:rsid w:val="00AC3B49"/>
    <w:rsid w:val="00AE024B"/>
    <w:rsid w:val="00AE1824"/>
    <w:rsid w:val="00AE1F9F"/>
    <w:rsid w:val="00B40E75"/>
    <w:rsid w:val="00B91E2F"/>
    <w:rsid w:val="00BB1A34"/>
    <w:rsid w:val="00BB7F36"/>
    <w:rsid w:val="00C017CD"/>
    <w:rsid w:val="00C6327D"/>
    <w:rsid w:val="00C74A9C"/>
    <w:rsid w:val="00CD6DC3"/>
    <w:rsid w:val="00D56202"/>
    <w:rsid w:val="00D71CE3"/>
    <w:rsid w:val="00DA55EF"/>
    <w:rsid w:val="00DC7DF4"/>
    <w:rsid w:val="00EB26F0"/>
    <w:rsid w:val="00FD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78538-770B-432A-8C79-05197175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F1E"/>
  </w:style>
  <w:style w:type="paragraph" w:styleId="Footer">
    <w:name w:val="footer"/>
    <w:basedOn w:val="Normal"/>
    <w:link w:val="FooterChar"/>
    <w:uiPriority w:val="99"/>
    <w:unhideWhenUsed/>
    <w:rsid w:val="0032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F1E"/>
  </w:style>
  <w:style w:type="paragraph" w:styleId="ListParagraph">
    <w:name w:val="List Paragraph"/>
    <w:basedOn w:val="Normal"/>
    <w:uiPriority w:val="34"/>
    <w:qFormat/>
    <w:rsid w:val="003D41DA"/>
    <w:pPr>
      <w:ind w:left="720"/>
      <w:contextualSpacing/>
    </w:pPr>
  </w:style>
  <w:style w:type="table" w:styleId="TableGrid">
    <w:name w:val="Table Grid"/>
    <w:basedOn w:val="TableNormal"/>
    <w:uiPriority w:val="39"/>
    <w:rsid w:val="003D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1A"/>
    <w:rPr>
      <w:rFonts w:ascii="Segoe UI" w:hAnsi="Segoe UI" w:cs="Segoe UI"/>
      <w:sz w:val="18"/>
      <w:szCs w:val="18"/>
    </w:rPr>
  </w:style>
  <w:style w:type="character" w:styleId="Hyperlink">
    <w:name w:val="Hyperlink"/>
    <w:basedOn w:val="DefaultParagraphFont"/>
    <w:uiPriority w:val="99"/>
    <w:unhideWhenUsed/>
    <w:rsid w:val="00DC7D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unce.org/AchieveOnDem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inand\Dropbox%20(Ounce)\Desktop\Project%20Management\1_Processes,%20Resources,%20and%20Templates\03_Design%20Templates\AOD_Handout_Template_1509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AOD_Handout_Template_150928.dotx</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33WCM01</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Weinand, Michael</dc:creator>
  <cp:keywords/>
  <dc:description/>
  <cp:lastModifiedBy>Abrahams, Rowena</cp:lastModifiedBy>
  <cp:revision>3</cp:revision>
  <cp:lastPrinted>2017-07-10T18:37:00Z</cp:lastPrinted>
  <dcterms:created xsi:type="dcterms:W3CDTF">2017-07-10T18:41:00Z</dcterms:created>
  <dcterms:modified xsi:type="dcterms:W3CDTF">2017-07-10T18:41:00Z</dcterms:modified>
</cp:coreProperties>
</file>